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C24D7" w14:textId="26E235C7" w:rsidR="00E72FEC" w:rsidRDefault="0023731B" w:rsidP="00FD1B87">
      <w:pPr>
        <w:pStyle w:val="Title"/>
        <w:widowControl w:val="0"/>
        <w:pBdr>
          <w:bottom w:val="single" w:sz="8" w:space="4" w:color="404040" w:themeColor="text1" w:themeTint="BF"/>
        </w:pBdr>
        <w:autoSpaceDE w:val="0"/>
        <w:autoSpaceDN w:val="0"/>
        <w:adjustRightInd w:val="0"/>
        <w:spacing w:before="0" w:after="0"/>
        <w:contextualSpacing/>
        <w:outlineLvl w:val="9"/>
        <w:rPr>
          <w:rFonts w:ascii="Times New Roman" w:eastAsiaTheme="majorEastAsia" w:hAnsi="Times New Roman" w:cstheme="majorBidi"/>
          <w:b w:val="0"/>
          <w:bCs w:val="0"/>
          <w:color w:val="003366"/>
          <w:spacing w:val="5"/>
          <w:sz w:val="72"/>
          <w:szCs w:val="52"/>
          <w:highlight w:val="lightGray"/>
        </w:rPr>
      </w:pPr>
      <w:r>
        <w:rPr>
          <w:noProof/>
        </w:rPr>
        <w:drawing>
          <wp:inline distT="0" distB="0" distL="0" distR="0" wp14:anchorId="4F35E184" wp14:editId="5FA12F42">
            <wp:extent cx="5943600" cy="4916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916805"/>
                    </a:xfrm>
                    <a:prstGeom prst="rect">
                      <a:avLst/>
                    </a:prstGeom>
                  </pic:spPr>
                </pic:pic>
              </a:graphicData>
            </a:graphic>
          </wp:inline>
        </w:drawing>
      </w:r>
    </w:p>
    <w:p w14:paraId="604D162A" w14:textId="16747101" w:rsidR="00FD1B87" w:rsidRDefault="00FD1B87" w:rsidP="00FD1B87">
      <w:pPr>
        <w:pStyle w:val="Title"/>
        <w:widowControl w:val="0"/>
        <w:pBdr>
          <w:bottom w:val="single" w:sz="8" w:space="4" w:color="404040" w:themeColor="text1" w:themeTint="BF"/>
        </w:pBdr>
        <w:autoSpaceDE w:val="0"/>
        <w:autoSpaceDN w:val="0"/>
        <w:adjustRightInd w:val="0"/>
        <w:spacing w:before="0" w:after="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3801B076" w14:textId="1D84CA9F" w:rsidR="006746F8" w:rsidRDefault="006D2DE3" w:rsidP="006D2DE3">
      <w:pPr>
        <w:pStyle w:val="Title"/>
        <w:widowControl w:val="0"/>
        <w:pBdr>
          <w:bottom w:val="single" w:sz="8" w:space="4" w:color="404040" w:themeColor="text1" w:themeTint="BF"/>
        </w:pBdr>
        <w:autoSpaceDE w:val="0"/>
        <w:autoSpaceDN w:val="0"/>
        <w:adjustRightInd w:val="0"/>
        <w:spacing w:before="4800" w:after="300"/>
        <w:contextualSpacing/>
        <w:outlineLvl w:val="9"/>
        <w:rPr>
          <w:rFonts w:ascii="Times New Roman" w:eastAsiaTheme="majorEastAsia" w:hAnsi="Times New Roman" w:cstheme="majorBidi"/>
          <w:b w:val="0"/>
          <w:bCs w:val="0"/>
          <w:color w:val="003366"/>
          <w:spacing w:val="5"/>
          <w:sz w:val="72"/>
          <w:szCs w:val="52"/>
        </w:rPr>
      </w:pPr>
      <w:r>
        <w:rPr>
          <w:rFonts w:ascii="Times New Roman" w:eastAsiaTheme="majorEastAsia" w:hAnsi="Times New Roman" w:cstheme="majorBidi"/>
          <w:b w:val="0"/>
          <w:bCs w:val="0"/>
          <w:color w:val="003366"/>
          <w:spacing w:val="5"/>
          <w:sz w:val="72"/>
          <w:szCs w:val="52"/>
        </w:rPr>
        <w:t>Region 15 Regional Response</w:t>
      </w:r>
    </w:p>
    <w:p w14:paraId="32A7D997" w14:textId="33EEB956" w:rsidR="006D2DE3" w:rsidRDefault="006D2DE3" w:rsidP="006D2DE3">
      <w:pPr>
        <w:pStyle w:val="Title"/>
        <w:widowControl w:val="0"/>
        <w:pBdr>
          <w:bottom w:val="single" w:sz="8" w:space="4" w:color="404040" w:themeColor="text1" w:themeTint="BF"/>
        </w:pBdr>
        <w:autoSpaceDE w:val="0"/>
        <w:autoSpaceDN w:val="0"/>
        <w:adjustRightInd w:val="0"/>
        <w:spacing w:before="4800" w:after="300"/>
        <w:contextualSpacing/>
        <w:outlineLvl w:val="9"/>
        <w:rPr>
          <w:rFonts w:ascii="Times New Roman" w:eastAsiaTheme="majorEastAsia" w:hAnsi="Times New Roman" w:cstheme="majorBidi"/>
          <w:b w:val="0"/>
          <w:bCs w:val="0"/>
          <w:color w:val="003366"/>
          <w:spacing w:val="5"/>
          <w:sz w:val="72"/>
          <w:szCs w:val="52"/>
        </w:rPr>
      </w:pPr>
      <w:r>
        <w:rPr>
          <w:rFonts w:ascii="Times New Roman" w:eastAsiaTheme="majorEastAsia" w:hAnsi="Times New Roman" w:cstheme="majorBidi"/>
          <w:b w:val="0"/>
          <w:bCs w:val="0"/>
          <w:color w:val="003366"/>
          <w:spacing w:val="5"/>
          <w:sz w:val="72"/>
          <w:szCs w:val="52"/>
        </w:rPr>
        <w:t>Center Coordination</w:t>
      </w:r>
    </w:p>
    <w:p w14:paraId="0A5DF84D" w14:textId="4205FCC7" w:rsidR="006D2DE3" w:rsidRPr="006D2DE3" w:rsidRDefault="006D2DE3"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3366"/>
          <w:spacing w:val="5"/>
          <w:sz w:val="54"/>
          <w:szCs w:val="54"/>
        </w:rPr>
      </w:pPr>
      <w:r>
        <w:rPr>
          <w:rFonts w:ascii="Times New Roman" w:eastAsiaTheme="majorEastAsia" w:hAnsi="Times New Roman" w:cstheme="majorBidi"/>
          <w:b w:val="0"/>
          <w:bCs w:val="0"/>
          <w:color w:val="003366"/>
          <w:spacing w:val="5"/>
          <w:sz w:val="54"/>
          <w:szCs w:val="54"/>
        </w:rPr>
        <w:t>COVID</w:t>
      </w:r>
      <w:r w:rsidRPr="006D2DE3">
        <w:rPr>
          <w:rFonts w:ascii="Times New Roman" w:eastAsiaTheme="majorEastAsia" w:hAnsi="Times New Roman" w:cstheme="majorBidi"/>
          <w:b w:val="0"/>
          <w:bCs w:val="0"/>
          <w:color w:val="003366"/>
          <w:spacing w:val="5"/>
          <w:sz w:val="54"/>
          <w:szCs w:val="54"/>
        </w:rPr>
        <w:t>19 Pandemic Response – Phase 1</w:t>
      </w:r>
    </w:p>
    <w:p w14:paraId="3801B077" w14:textId="77777777" w:rsidR="006746F8" w:rsidRPr="00B51EF7" w:rsidRDefault="00F466AA" w:rsidP="007218CE">
      <w:pPr>
        <w:pStyle w:val="Subtitle"/>
      </w:pPr>
      <w:r w:rsidRPr="00B51EF7">
        <w:t>After-Action Report/Improvement Plan</w:t>
      </w:r>
    </w:p>
    <w:p w14:paraId="1A9DF7CD" w14:textId="6AEE3FAF" w:rsidR="006D2DE3" w:rsidRPr="006D2DE3" w:rsidRDefault="006D2DE3" w:rsidP="006D2DE3">
      <w:pPr>
        <w:sectPr w:rsidR="006D2DE3" w:rsidRPr="006D2DE3" w:rsidSect="00A40CCA">
          <w:footerReference w:type="default" r:id="rId9"/>
          <w:pgSz w:w="12240" w:h="15840" w:code="1"/>
          <w:pgMar w:top="1440" w:right="1440" w:bottom="1440" w:left="1440" w:header="72" w:footer="942" w:gutter="0"/>
          <w:pgNumType w:fmt="lowerRoman" w:start="3"/>
          <w:cols w:space="720"/>
          <w:docGrid w:linePitch="360"/>
        </w:sectPr>
      </w:pPr>
      <w:r>
        <w:rPr>
          <w:rFonts w:ascii="Arial" w:eastAsiaTheme="majorEastAsia" w:hAnsi="Arial"/>
          <w:iCs/>
          <w:color w:val="404040" w:themeColor="text1" w:themeTint="BF"/>
          <w:spacing w:val="15"/>
          <w:sz w:val="36"/>
          <w:szCs w:val="36"/>
        </w:rPr>
        <w:t>July 1</w:t>
      </w:r>
      <w:r w:rsidRPr="006D2DE3">
        <w:rPr>
          <w:rFonts w:ascii="Arial" w:eastAsiaTheme="majorEastAsia" w:hAnsi="Arial"/>
          <w:iCs/>
          <w:color w:val="404040" w:themeColor="text1" w:themeTint="BF"/>
          <w:spacing w:val="15"/>
          <w:sz w:val="36"/>
          <w:szCs w:val="36"/>
          <w:vertAlign w:val="superscript"/>
        </w:rPr>
        <w:t>st</w:t>
      </w:r>
      <w:r>
        <w:rPr>
          <w:rFonts w:ascii="Arial" w:eastAsiaTheme="majorEastAsia" w:hAnsi="Arial"/>
          <w:iCs/>
          <w:color w:val="404040" w:themeColor="text1" w:themeTint="BF"/>
          <w:spacing w:val="15"/>
          <w:sz w:val="36"/>
          <w:szCs w:val="36"/>
        </w:rPr>
        <w:t xml:space="preserve"> 2020</w:t>
      </w:r>
    </w:p>
    <w:p w14:paraId="3801B07A" w14:textId="38ED6B7F" w:rsidR="006746F8" w:rsidRPr="00EC5068" w:rsidRDefault="006746F8" w:rsidP="006746F8">
      <w:pPr>
        <w:pStyle w:val="Heading1"/>
        <w:rPr>
          <w:rFonts w:ascii="Arial" w:hAnsi="Arial"/>
        </w:rPr>
      </w:pPr>
      <w:r w:rsidRPr="00EC5068">
        <w:rPr>
          <w:rFonts w:ascii="Arial" w:hAnsi="Arial"/>
        </w:rPr>
        <w:lastRenderedPageBreak/>
        <w:t>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Outlines key purposes, logistics of, and participants in the exercise"/>
      </w:tblPr>
      <w:tblGrid>
        <w:gridCol w:w="1888"/>
        <w:gridCol w:w="7382"/>
      </w:tblGrid>
      <w:tr w:rsidR="00D27750" w:rsidRPr="001D6096" w14:paraId="3801B07D" w14:textId="77777777" w:rsidTr="00255FF2">
        <w:trPr>
          <w:cantSplit/>
          <w:trHeight w:val="437"/>
          <w:tblHeader/>
        </w:trPr>
        <w:tc>
          <w:tcPr>
            <w:tcW w:w="1888" w:type="dxa"/>
            <w:shd w:val="clear" w:color="auto" w:fill="003366"/>
            <w:vAlign w:val="center"/>
          </w:tcPr>
          <w:p w14:paraId="3801B07B" w14:textId="1EF51FD6" w:rsidR="00D27750" w:rsidRPr="005E65BE" w:rsidRDefault="009530E1" w:rsidP="005E65BE">
            <w:pPr>
              <w:pStyle w:val="Tabletext"/>
              <w:spacing w:before="120" w:after="120"/>
              <w:rPr>
                <w:b/>
              </w:rPr>
            </w:pPr>
            <w:r>
              <w:rPr>
                <w:b/>
              </w:rPr>
              <w:t>Event</w:t>
            </w:r>
            <w:r w:rsidR="00D27750" w:rsidRPr="005E65BE">
              <w:rPr>
                <w:b/>
              </w:rPr>
              <w:t xml:space="preserve"> Name</w:t>
            </w:r>
          </w:p>
        </w:tc>
        <w:tc>
          <w:tcPr>
            <w:tcW w:w="7382" w:type="dxa"/>
            <w:vAlign w:val="center"/>
          </w:tcPr>
          <w:p w14:paraId="3801B07C" w14:textId="6981CC66" w:rsidR="00D27750" w:rsidRPr="005E65BE" w:rsidRDefault="006D2DE3" w:rsidP="003A1C8B">
            <w:pPr>
              <w:pStyle w:val="Tabletext"/>
            </w:pPr>
            <w:r>
              <w:t>Region 15 Regional Response Center Coordination (RRCC) – COVID19 Pandemic Response Phase 1</w:t>
            </w:r>
          </w:p>
        </w:tc>
      </w:tr>
      <w:tr w:rsidR="00D27750" w:rsidRPr="001D6096" w14:paraId="3801B080" w14:textId="77777777" w:rsidTr="003A1C8B">
        <w:trPr>
          <w:cantSplit/>
          <w:trHeight w:val="432"/>
        </w:trPr>
        <w:tc>
          <w:tcPr>
            <w:tcW w:w="1888" w:type="dxa"/>
            <w:shd w:val="clear" w:color="auto" w:fill="003366"/>
            <w:vAlign w:val="center"/>
          </w:tcPr>
          <w:p w14:paraId="3801B07E" w14:textId="2267F0D6" w:rsidR="00D27750" w:rsidRPr="005E65BE" w:rsidRDefault="00D27750" w:rsidP="005E65BE">
            <w:pPr>
              <w:pStyle w:val="Tabletext"/>
              <w:spacing w:before="120" w:after="120"/>
              <w:rPr>
                <w:b/>
              </w:rPr>
            </w:pPr>
            <w:r w:rsidRPr="005E65BE">
              <w:rPr>
                <w:b/>
              </w:rPr>
              <w:t>Dates</w:t>
            </w:r>
          </w:p>
        </w:tc>
        <w:tc>
          <w:tcPr>
            <w:tcW w:w="7382" w:type="dxa"/>
            <w:shd w:val="clear" w:color="auto" w:fill="auto"/>
            <w:vAlign w:val="center"/>
          </w:tcPr>
          <w:p w14:paraId="3801B07F" w14:textId="4FE95B97" w:rsidR="00D27750" w:rsidRPr="005E65BE" w:rsidRDefault="006D2DE3" w:rsidP="009530E1">
            <w:pPr>
              <w:pStyle w:val="Tabletext"/>
              <w:rPr>
                <w:highlight w:val="lightGray"/>
              </w:rPr>
            </w:pPr>
            <w:r>
              <w:t xml:space="preserve">Activation </w:t>
            </w:r>
            <w:proofErr w:type="gramStart"/>
            <w:r>
              <w:t>of  RRCCs</w:t>
            </w:r>
            <w:proofErr w:type="gramEnd"/>
            <w:r>
              <w:t xml:space="preserve"> occurred in March 2020 and continued through July 2020. A de-escalation of the RRCC occurred in the fall the response to </w:t>
            </w:r>
            <w:r w:rsidR="00A01566">
              <w:t xml:space="preserve">healthcare partner continued into 2021.  </w:t>
            </w:r>
          </w:p>
        </w:tc>
      </w:tr>
      <w:tr w:rsidR="00D27750" w:rsidRPr="001D6096" w14:paraId="3801B083" w14:textId="77777777" w:rsidTr="00255FF2">
        <w:trPr>
          <w:cantSplit/>
          <w:trHeight w:val="432"/>
        </w:trPr>
        <w:tc>
          <w:tcPr>
            <w:tcW w:w="1888" w:type="dxa"/>
            <w:shd w:val="clear" w:color="auto" w:fill="003366"/>
            <w:vAlign w:val="center"/>
          </w:tcPr>
          <w:p w14:paraId="3801B081" w14:textId="77777777" w:rsidR="00D27750" w:rsidRPr="005E65BE" w:rsidRDefault="00D27750" w:rsidP="005E65BE">
            <w:pPr>
              <w:pStyle w:val="Tabletext"/>
              <w:spacing w:before="120" w:after="120"/>
              <w:rPr>
                <w:b/>
              </w:rPr>
            </w:pPr>
            <w:r w:rsidRPr="005E65BE">
              <w:rPr>
                <w:b/>
              </w:rPr>
              <w:t>Scope</w:t>
            </w:r>
          </w:p>
        </w:tc>
        <w:tc>
          <w:tcPr>
            <w:tcW w:w="7382" w:type="dxa"/>
            <w:vAlign w:val="center"/>
          </w:tcPr>
          <w:p w14:paraId="3801B082" w14:textId="12D43DF6" w:rsidR="00D27750" w:rsidRPr="005E65BE" w:rsidRDefault="00D27750" w:rsidP="00A01566">
            <w:pPr>
              <w:pStyle w:val="Tabletext"/>
              <w:rPr>
                <w:highlight w:val="lightGray"/>
              </w:rPr>
            </w:pPr>
            <w:r w:rsidRPr="005E65BE">
              <w:t xml:space="preserve">This </w:t>
            </w:r>
            <w:r w:rsidR="009B2B5E">
              <w:t xml:space="preserve">AAR covers </w:t>
            </w:r>
            <w:r w:rsidR="00F3638C">
              <w:t>the</w:t>
            </w:r>
            <w:r w:rsidR="009B2B5E">
              <w:t xml:space="preserve"> response </w:t>
            </w:r>
            <w:r w:rsidR="00F3638C">
              <w:t xml:space="preserve">to </w:t>
            </w:r>
            <w:r w:rsidR="00A01566">
              <w:t xml:space="preserve">Phase 1 of the COVID Pandemic and response support to Region 15 and its healthcare partners.  </w:t>
            </w:r>
          </w:p>
        </w:tc>
      </w:tr>
      <w:tr w:rsidR="00D27750" w:rsidRPr="001D6096" w14:paraId="3801B086" w14:textId="77777777" w:rsidTr="00255FF2">
        <w:trPr>
          <w:cantSplit/>
          <w:trHeight w:val="432"/>
        </w:trPr>
        <w:tc>
          <w:tcPr>
            <w:tcW w:w="1888" w:type="dxa"/>
            <w:shd w:val="clear" w:color="auto" w:fill="003366"/>
            <w:vAlign w:val="center"/>
          </w:tcPr>
          <w:p w14:paraId="3801B084" w14:textId="77777777" w:rsidR="00D27750" w:rsidRPr="005E65BE" w:rsidRDefault="00D27750" w:rsidP="005E65BE">
            <w:pPr>
              <w:pStyle w:val="Tabletext"/>
              <w:spacing w:before="120" w:after="120"/>
              <w:rPr>
                <w:b/>
              </w:rPr>
            </w:pPr>
            <w:r w:rsidRPr="005E65BE">
              <w:rPr>
                <w:b/>
              </w:rPr>
              <w:t>Mission Area(s)</w:t>
            </w:r>
          </w:p>
        </w:tc>
        <w:tc>
          <w:tcPr>
            <w:tcW w:w="7382" w:type="dxa"/>
            <w:vAlign w:val="center"/>
          </w:tcPr>
          <w:p w14:paraId="3801B085" w14:textId="5692E7B0" w:rsidR="00D27750" w:rsidRPr="005E65BE" w:rsidRDefault="003A1C8B" w:rsidP="005E65BE">
            <w:pPr>
              <w:pStyle w:val="Tabletext"/>
              <w:rPr>
                <w:highlight w:val="lightGray"/>
              </w:rPr>
            </w:pPr>
            <w:r w:rsidRPr="003A1C8B">
              <w:t>Response and Recovery</w:t>
            </w:r>
          </w:p>
        </w:tc>
      </w:tr>
      <w:tr w:rsidR="00D27750" w:rsidRPr="001D6096" w14:paraId="3801B08C" w14:textId="77777777" w:rsidTr="00255FF2">
        <w:trPr>
          <w:cantSplit/>
          <w:trHeight w:val="432"/>
        </w:trPr>
        <w:tc>
          <w:tcPr>
            <w:tcW w:w="1888" w:type="dxa"/>
            <w:shd w:val="clear" w:color="auto" w:fill="003366"/>
            <w:vAlign w:val="center"/>
          </w:tcPr>
          <w:p w14:paraId="3801B08A" w14:textId="77777777" w:rsidR="00D27750" w:rsidRPr="005E65BE" w:rsidRDefault="00D27750" w:rsidP="005E65BE">
            <w:pPr>
              <w:pStyle w:val="Tabletext"/>
              <w:spacing w:before="120" w:after="120"/>
              <w:rPr>
                <w:b/>
              </w:rPr>
            </w:pPr>
            <w:r w:rsidRPr="005E65BE">
              <w:rPr>
                <w:b/>
              </w:rPr>
              <w:t>Objectives</w:t>
            </w:r>
          </w:p>
        </w:tc>
        <w:tc>
          <w:tcPr>
            <w:tcW w:w="7382" w:type="dxa"/>
            <w:vAlign w:val="center"/>
          </w:tcPr>
          <w:p w14:paraId="0E506E32" w14:textId="77777777" w:rsidR="009E0887" w:rsidRDefault="009E0887" w:rsidP="00A01566">
            <w:pPr>
              <w:pStyle w:val="Tabletext"/>
              <w:ind w:left="360"/>
              <w:rPr>
                <w:rFonts w:cs="Arial"/>
                <w:szCs w:val="20"/>
              </w:rPr>
            </w:pPr>
          </w:p>
          <w:p w14:paraId="5FC46A04" w14:textId="4AC336B3" w:rsidR="009E0887" w:rsidRDefault="00A01566" w:rsidP="009E0887">
            <w:pPr>
              <w:pStyle w:val="Tabletext"/>
              <w:ind w:left="360"/>
              <w:rPr>
                <w:rFonts w:cs="Arial"/>
                <w:szCs w:val="20"/>
              </w:rPr>
            </w:pPr>
            <w:r w:rsidRPr="009E0887">
              <w:rPr>
                <w:rFonts w:cs="Arial"/>
                <w:szCs w:val="20"/>
              </w:rPr>
              <w:t>1</w:t>
            </w:r>
            <w:r w:rsidR="0057220F" w:rsidRPr="009E0887">
              <w:rPr>
                <w:rFonts w:cs="Arial"/>
                <w:szCs w:val="20"/>
              </w:rPr>
              <w:t xml:space="preserve">.   </w:t>
            </w:r>
            <w:r w:rsidR="00036062" w:rsidRPr="009E0887">
              <w:rPr>
                <w:rFonts w:cs="Arial"/>
                <w:szCs w:val="20"/>
              </w:rPr>
              <w:t>R15-</w:t>
            </w:r>
            <w:r w:rsidRPr="009E0887">
              <w:rPr>
                <w:rFonts w:cs="Arial"/>
                <w:szCs w:val="20"/>
              </w:rPr>
              <w:t xml:space="preserve">RRCC will provide up-to-date and factual </w:t>
            </w:r>
            <w:r w:rsidR="00036062" w:rsidRPr="009E0887">
              <w:rPr>
                <w:rFonts w:cs="Arial"/>
                <w:szCs w:val="20"/>
              </w:rPr>
              <w:t xml:space="preserve">situational awareness </w:t>
            </w:r>
            <w:r w:rsidRPr="009E0887">
              <w:rPr>
                <w:rFonts w:cs="Arial"/>
                <w:szCs w:val="20"/>
              </w:rPr>
              <w:t>information to healthcare partners in response to the COVID19 Pandemic.</w:t>
            </w:r>
          </w:p>
          <w:p w14:paraId="3E165A27" w14:textId="77777777" w:rsidR="009E0887" w:rsidRPr="009E0887" w:rsidRDefault="009E0887" w:rsidP="009E0887">
            <w:pPr>
              <w:pStyle w:val="Tabletext"/>
              <w:ind w:left="360"/>
              <w:rPr>
                <w:rFonts w:cs="Arial"/>
                <w:szCs w:val="20"/>
              </w:rPr>
            </w:pPr>
          </w:p>
          <w:p w14:paraId="70B572F8" w14:textId="40AD8C49" w:rsidR="00800BC4" w:rsidRDefault="00800BC4" w:rsidP="00A01566">
            <w:pPr>
              <w:pStyle w:val="Tabletext"/>
              <w:ind w:left="360"/>
              <w:rPr>
                <w:rFonts w:cs="Arial"/>
                <w:szCs w:val="20"/>
              </w:rPr>
            </w:pPr>
            <w:r w:rsidRPr="009E0887">
              <w:rPr>
                <w:rFonts w:cs="Arial"/>
                <w:szCs w:val="20"/>
              </w:rPr>
              <w:t>2.  R15-RRCC will act as a liaison between regional healthcare partners and state public health response agencies involved with the COVID19 Pandemic.</w:t>
            </w:r>
          </w:p>
          <w:p w14:paraId="5CEBA010" w14:textId="77777777" w:rsidR="009E0887" w:rsidRPr="009E0887" w:rsidRDefault="009E0887" w:rsidP="00A01566">
            <w:pPr>
              <w:pStyle w:val="Tabletext"/>
              <w:ind w:left="360"/>
              <w:rPr>
                <w:rFonts w:cs="Arial"/>
                <w:szCs w:val="20"/>
              </w:rPr>
            </w:pPr>
          </w:p>
          <w:p w14:paraId="3EF8DA05" w14:textId="38306EDA" w:rsidR="00A01566" w:rsidRPr="009E0887" w:rsidRDefault="00800BC4" w:rsidP="00A01566">
            <w:pPr>
              <w:pStyle w:val="Tabletext"/>
              <w:ind w:left="360"/>
              <w:rPr>
                <w:rFonts w:cs="Arial"/>
                <w:szCs w:val="20"/>
              </w:rPr>
            </w:pPr>
            <w:r w:rsidRPr="009E0887">
              <w:rPr>
                <w:rFonts w:cs="Arial"/>
                <w:szCs w:val="20"/>
              </w:rPr>
              <w:t>3</w:t>
            </w:r>
            <w:r w:rsidR="00A01566" w:rsidRPr="009E0887">
              <w:rPr>
                <w:rFonts w:cs="Arial"/>
                <w:szCs w:val="20"/>
              </w:rPr>
              <w:t xml:space="preserve">.   </w:t>
            </w:r>
            <w:r w:rsidR="00036062" w:rsidRPr="009E0887">
              <w:rPr>
                <w:rFonts w:cs="Arial"/>
                <w:szCs w:val="20"/>
              </w:rPr>
              <w:t>R15-</w:t>
            </w:r>
            <w:r w:rsidR="00A01566" w:rsidRPr="009E0887">
              <w:rPr>
                <w:rFonts w:cs="Arial"/>
                <w:szCs w:val="20"/>
              </w:rPr>
              <w:t>RRCC will assist in supplying healthcare</w:t>
            </w:r>
            <w:r w:rsidR="00036062" w:rsidRPr="009E0887">
              <w:rPr>
                <w:rFonts w:cs="Arial"/>
                <w:szCs w:val="20"/>
              </w:rPr>
              <w:t xml:space="preserve"> with needed assets and materials in response to the COVID19 Pandemic.</w:t>
            </w:r>
          </w:p>
          <w:p w14:paraId="47AD2408" w14:textId="5D60F53C" w:rsidR="00036062" w:rsidRDefault="00800BC4" w:rsidP="00A01566">
            <w:pPr>
              <w:pStyle w:val="Tabletext"/>
              <w:ind w:left="360"/>
              <w:rPr>
                <w:rFonts w:asciiTheme="minorHAnsi" w:hAnsiTheme="minorHAnsi" w:cstheme="minorHAnsi"/>
                <w:sz w:val="24"/>
              </w:rPr>
            </w:pPr>
            <w:r>
              <w:rPr>
                <w:rFonts w:asciiTheme="minorHAnsi" w:hAnsiTheme="minorHAnsi" w:cstheme="minorHAnsi"/>
                <w:sz w:val="24"/>
              </w:rPr>
              <w:t xml:space="preserve">  </w:t>
            </w:r>
          </w:p>
          <w:p w14:paraId="47B3800E" w14:textId="246C64B5" w:rsidR="00A01566" w:rsidRPr="005E65BE" w:rsidRDefault="00A01566" w:rsidP="00A01566">
            <w:pPr>
              <w:pStyle w:val="Tabletext"/>
              <w:ind w:left="360"/>
            </w:pPr>
          </w:p>
          <w:p w14:paraId="3801B08B" w14:textId="224533DB" w:rsidR="00D27750" w:rsidRPr="005E65BE" w:rsidRDefault="00D27750" w:rsidP="0057220F">
            <w:pPr>
              <w:pStyle w:val="Tabletext"/>
              <w:ind w:left="360"/>
              <w:rPr>
                <w:highlight w:val="lightGray"/>
              </w:rPr>
            </w:pPr>
          </w:p>
        </w:tc>
      </w:tr>
      <w:tr w:rsidR="00D27750" w:rsidRPr="001D6096" w14:paraId="3801B08F" w14:textId="77777777" w:rsidTr="00255FF2">
        <w:trPr>
          <w:cantSplit/>
          <w:trHeight w:val="432"/>
        </w:trPr>
        <w:tc>
          <w:tcPr>
            <w:tcW w:w="1888" w:type="dxa"/>
            <w:shd w:val="clear" w:color="auto" w:fill="003366"/>
            <w:vAlign w:val="center"/>
          </w:tcPr>
          <w:p w14:paraId="3801B08D" w14:textId="77777777" w:rsidR="00D27750" w:rsidRPr="005E65BE" w:rsidRDefault="00D27750" w:rsidP="005E65BE">
            <w:pPr>
              <w:pStyle w:val="Tabletext"/>
              <w:spacing w:before="120" w:after="120"/>
              <w:rPr>
                <w:b/>
              </w:rPr>
            </w:pPr>
            <w:r w:rsidRPr="005E65BE">
              <w:rPr>
                <w:b/>
              </w:rPr>
              <w:t>Threat or Hazard</w:t>
            </w:r>
          </w:p>
        </w:tc>
        <w:tc>
          <w:tcPr>
            <w:tcW w:w="7382" w:type="dxa"/>
            <w:vAlign w:val="center"/>
          </w:tcPr>
          <w:p w14:paraId="0825EB96" w14:textId="4B743D76" w:rsidR="00C306CF" w:rsidRPr="00CA13FC" w:rsidRDefault="00036062" w:rsidP="00C306CF">
            <w:pPr>
              <w:rPr>
                <w:rFonts w:asciiTheme="minorHAnsi" w:hAnsiTheme="minorHAnsi" w:cstheme="minorHAnsi"/>
                <w:sz w:val="23"/>
                <w:szCs w:val="23"/>
              </w:rPr>
            </w:pPr>
            <w:r>
              <w:rPr>
                <w:rFonts w:asciiTheme="minorHAnsi" w:hAnsiTheme="minorHAnsi" w:cstheme="minorHAnsi"/>
              </w:rPr>
              <w:t>COVID-19 Pandemic</w:t>
            </w:r>
          </w:p>
          <w:p w14:paraId="3801B08E" w14:textId="1A81FF25" w:rsidR="00D27750" w:rsidRPr="005E65BE" w:rsidRDefault="00D27750" w:rsidP="005E65BE">
            <w:pPr>
              <w:pStyle w:val="Tabletext"/>
              <w:rPr>
                <w:highlight w:val="lightGray"/>
              </w:rPr>
            </w:pPr>
          </w:p>
        </w:tc>
      </w:tr>
      <w:tr w:rsidR="00D27750" w:rsidRPr="001D6096" w14:paraId="3801B092" w14:textId="77777777" w:rsidTr="00255FF2">
        <w:trPr>
          <w:cantSplit/>
          <w:trHeight w:val="432"/>
        </w:trPr>
        <w:tc>
          <w:tcPr>
            <w:tcW w:w="1888" w:type="dxa"/>
            <w:shd w:val="clear" w:color="auto" w:fill="003366"/>
            <w:vAlign w:val="center"/>
          </w:tcPr>
          <w:p w14:paraId="3801B090" w14:textId="0D44A598" w:rsidR="00D27750" w:rsidRPr="005E65BE" w:rsidRDefault="009B2B5E" w:rsidP="005E65BE">
            <w:pPr>
              <w:pStyle w:val="Tabletext"/>
              <w:spacing w:before="120" w:after="120"/>
              <w:rPr>
                <w:b/>
              </w:rPr>
            </w:pPr>
            <w:r>
              <w:rPr>
                <w:b/>
              </w:rPr>
              <w:t>Synopsis</w:t>
            </w:r>
          </w:p>
        </w:tc>
        <w:tc>
          <w:tcPr>
            <w:tcW w:w="7382" w:type="dxa"/>
            <w:vAlign w:val="center"/>
          </w:tcPr>
          <w:p w14:paraId="3801B091" w14:textId="33DA9C69" w:rsidR="00D27750" w:rsidRPr="005E65BE" w:rsidRDefault="006154F3" w:rsidP="00036062">
            <w:pPr>
              <w:rPr>
                <w:highlight w:val="lightGray"/>
              </w:rPr>
            </w:pPr>
            <w:r w:rsidRPr="0025357A">
              <w:t xml:space="preserve">Upon initial confirmation regarding Kentucky’s first positive COVID case which was located in Harrison County, the state activated the State Health Operations Center and subsequently Regional Response Coordination Centers across the Commonwealth.  Information on how to respond to the onset of COVID cases was </w:t>
            </w:r>
            <w:r w:rsidR="0025357A" w:rsidRPr="0025357A">
              <w:t>crucial</w:t>
            </w:r>
            <w:r w:rsidRPr="0025357A">
              <w:t xml:space="preserve">.  </w:t>
            </w:r>
            <w:r w:rsidR="0025357A" w:rsidRPr="0025357A">
              <w:t>RRCCs expanded the State’s capacity to support regional partners with ne</w:t>
            </w:r>
            <w:r w:rsidR="0038733F">
              <w:t>cessary information and needed</w:t>
            </w:r>
            <w:r w:rsidR="0025357A" w:rsidRPr="0025357A">
              <w:t xml:space="preserve"> resources.  </w:t>
            </w:r>
          </w:p>
        </w:tc>
      </w:tr>
      <w:tr w:rsidR="00D27750" w:rsidRPr="001D6096" w14:paraId="3801B098" w14:textId="77777777" w:rsidTr="009E1724">
        <w:trPr>
          <w:cantSplit/>
          <w:trHeight w:val="810"/>
        </w:trPr>
        <w:tc>
          <w:tcPr>
            <w:tcW w:w="1888" w:type="dxa"/>
            <w:shd w:val="clear" w:color="auto" w:fill="003366"/>
            <w:vAlign w:val="center"/>
          </w:tcPr>
          <w:p w14:paraId="3801B096" w14:textId="77777777" w:rsidR="00D27750" w:rsidRPr="005E65BE" w:rsidRDefault="00D27750" w:rsidP="005E65BE">
            <w:pPr>
              <w:pStyle w:val="Tabletext"/>
              <w:spacing w:before="120" w:after="120"/>
              <w:rPr>
                <w:b/>
              </w:rPr>
            </w:pPr>
            <w:r w:rsidRPr="005E65BE">
              <w:rPr>
                <w:b/>
              </w:rPr>
              <w:t>Participating Organizations</w:t>
            </w:r>
          </w:p>
        </w:tc>
        <w:tc>
          <w:tcPr>
            <w:tcW w:w="7382" w:type="dxa"/>
            <w:vAlign w:val="center"/>
          </w:tcPr>
          <w:p w14:paraId="0D8C363F" w14:textId="3CF7F571" w:rsidR="00D27750" w:rsidRDefault="00800BC4" w:rsidP="009E1724">
            <w:pPr>
              <w:pStyle w:val="Tabletext"/>
              <w:spacing w:before="120" w:after="120"/>
            </w:pPr>
            <w:r>
              <w:t xml:space="preserve">Kentucky </w:t>
            </w:r>
            <w:proofErr w:type="spellStart"/>
            <w:r>
              <w:t>Dept</w:t>
            </w:r>
            <w:proofErr w:type="spellEnd"/>
            <w:r>
              <w:t xml:space="preserve"> for </w:t>
            </w:r>
            <w:r w:rsidR="00A01566">
              <w:t>Public Health Emergency Preparedness Region 15W</w:t>
            </w:r>
          </w:p>
          <w:p w14:paraId="7608E8C5" w14:textId="2FA7F4A4" w:rsidR="00A01566" w:rsidRDefault="00800BC4" w:rsidP="009E1724">
            <w:pPr>
              <w:pStyle w:val="Tabletext"/>
              <w:spacing w:before="120" w:after="120"/>
            </w:pPr>
            <w:r>
              <w:t xml:space="preserve">Kentucky </w:t>
            </w:r>
            <w:proofErr w:type="spellStart"/>
            <w:r>
              <w:t>Dept</w:t>
            </w:r>
            <w:proofErr w:type="spellEnd"/>
            <w:r>
              <w:t xml:space="preserve"> for </w:t>
            </w:r>
            <w:r w:rsidR="00A01566">
              <w:t>Public Health Emergency Preparedness Region 15E</w:t>
            </w:r>
          </w:p>
          <w:p w14:paraId="7EBD8507" w14:textId="3A8A0007" w:rsidR="00A01566" w:rsidRDefault="00A01566" w:rsidP="009E1724">
            <w:pPr>
              <w:pStyle w:val="Tabletext"/>
              <w:spacing w:before="120" w:after="120"/>
            </w:pPr>
            <w:r>
              <w:t xml:space="preserve">Bluegrass Healthcare Coalition </w:t>
            </w:r>
          </w:p>
          <w:p w14:paraId="5B2FCFFA" w14:textId="62B40982" w:rsidR="00800BC4" w:rsidRDefault="00800BC4" w:rsidP="009E1724">
            <w:pPr>
              <w:pStyle w:val="Tabletext"/>
              <w:spacing w:before="120" w:after="120"/>
            </w:pPr>
            <w:r>
              <w:t xml:space="preserve">Kentucky </w:t>
            </w:r>
            <w:proofErr w:type="spellStart"/>
            <w:r>
              <w:t>Dept</w:t>
            </w:r>
            <w:proofErr w:type="spellEnd"/>
            <w:r>
              <w:t xml:space="preserve"> for Public Health Regional Epidemiologists</w:t>
            </w:r>
          </w:p>
          <w:p w14:paraId="2FDDB81D" w14:textId="7D2315F6" w:rsidR="00800BC4" w:rsidRDefault="00800BC4" w:rsidP="009E1724">
            <w:pPr>
              <w:pStyle w:val="Tabletext"/>
              <w:spacing w:before="120" w:after="120"/>
            </w:pPr>
            <w:r>
              <w:t>Regional Healthcare Partners</w:t>
            </w:r>
          </w:p>
          <w:p w14:paraId="3801B097" w14:textId="55F536A8" w:rsidR="00036062" w:rsidRPr="005E65BE" w:rsidRDefault="00036062" w:rsidP="009E1724">
            <w:pPr>
              <w:pStyle w:val="Tabletext"/>
              <w:spacing w:before="120" w:after="120"/>
              <w:rPr>
                <w:highlight w:val="lightGray"/>
              </w:rPr>
            </w:pPr>
          </w:p>
        </w:tc>
      </w:tr>
      <w:tr w:rsidR="00D27750" w:rsidRPr="001D6096" w14:paraId="3801B09B" w14:textId="77777777" w:rsidTr="009E1724">
        <w:trPr>
          <w:cantSplit/>
          <w:trHeight w:val="2070"/>
        </w:trPr>
        <w:tc>
          <w:tcPr>
            <w:tcW w:w="1888" w:type="dxa"/>
            <w:shd w:val="clear" w:color="auto" w:fill="003366"/>
            <w:vAlign w:val="center"/>
          </w:tcPr>
          <w:p w14:paraId="3801B099" w14:textId="77777777" w:rsidR="00D27750" w:rsidRPr="005E65BE" w:rsidRDefault="00D27750" w:rsidP="005E65BE">
            <w:pPr>
              <w:pStyle w:val="Tabletext"/>
              <w:spacing w:before="120" w:after="120"/>
              <w:rPr>
                <w:b/>
              </w:rPr>
            </w:pPr>
            <w:r w:rsidRPr="005E65BE">
              <w:rPr>
                <w:b/>
              </w:rPr>
              <w:lastRenderedPageBreak/>
              <w:t>Point of Contact</w:t>
            </w:r>
          </w:p>
        </w:tc>
        <w:tc>
          <w:tcPr>
            <w:tcW w:w="7382"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3578"/>
            </w:tblGrid>
            <w:tr w:rsidR="0025357A" w14:paraId="101E8B51" w14:textId="77777777" w:rsidTr="00A639B2">
              <w:tc>
                <w:tcPr>
                  <w:tcW w:w="3578" w:type="dxa"/>
                </w:tcPr>
                <w:p w14:paraId="77B2F7A8" w14:textId="77777777" w:rsidR="0025357A" w:rsidRPr="008A7D70" w:rsidRDefault="0025357A" w:rsidP="0025357A">
                  <w:pPr>
                    <w:jc w:val="both"/>
                    <w:rPr>
                      <w:rFonts w:asciiTheme="minorHAnsi" w:hAnsiTheme="minorHAnsi"/>
                      <w:b/>
                      <w:sz w:val="20"/>
                      <w:szCs w:val="20"/>
                    </w:rPr>
                  </w:pPr>
                  <w:r w:rsidRPr="008A7D70">
                    <w:rPr>
                      <w:rFonts w:asciiTheme="minorHAnsi" w:hAnsiTheme="minorHAnsi"/>
                      <w:b/>
                      <w:sz w:val="20"/>
                      <w:szCs w:val="20"/>
                    </w:rPr>
                    <w:t>Dave Carney</w:t>
                  </w:r>
                  <w:r>
                    <w:rPr>
                      <w:rFonts w:asciiTheme="minorHAnsi" w:hAnsiTheme="minorHAnsi"/>
                      <w:b/>
                      <w:sz w:val="20"/>
                      <w:szCs w:val="20"/>
                    </w:rPr>
                    <w:t>, MS, MEP</w:t>
                  </w:r>
                </w:p>
                <w:p w14:paraId="27D3E457" w14:textId="77777777" w:rsidR="0025357A" w:rsidRPr="008A7D70" w:rsidRDefault="0025357A" w:rsidP="0025357A">
                  <w:pPr>
                    <w:jc w:val="both"/>
                    <w:rPr>
                      <w:rFonts w:asciiTheme="minorHAnsi" w:hAnsiTheme="minorHAnsi"/>
                      <w:b/>
                      <w:sz w:val="20"/>
                      <w:szCs w:val="20"/>
                    </w:rPr>
                  </w:pPr>
                  <w:r w:rsidRPr="008A7D70">
                    <w:rPr>
                      <w:rFonts w:asciiTheme="minorHAnsi" w:hAnsiTheme="minorHAnsi"/>
                      <w:sz w:val="20"/>
                      <w:szCs w:val="20"/>
                    </w:rPr>
                    <w:t xml:space="preserve">Regional </w:t>
                  </w:r>
                  <w:r>
                    <w:rPr>
                      <w:rFonts w:asciiTheme="minorHAnsi" w:hAnsiTheme="minorHAnsi"/>
                      <w:sz w:val="20"/>
                      <w:szCs w:val="20"/>
                    </w:rPr>
                    <w:t xml:space="preserve">Response </w:t>
                  </w:r>
                  <w:r w:rsidRPr="008A7D70">
                    <w:rPr>
                      <w:rFonts w:asciiTheme="minorHAnsi" w:hAnsiTheme="minorHAnsi"/>
                      <w:sz w:val="20"/>
                      <w:szCs w:val="20"/>
                    </w:rPr>
                    <w:t>Coordinator</w:t>
                  </w:r>
                </w:p>
                <w:p w14:paraId="06EB9E46" w14:textId="77777777" w:rsidR="0025357A" w:rsidRPr="008A7D70" w:rsidRDefault="0025357A" w:rsidP="0025357A">
                  <w:pPr>
                    <w:jc w:val="both"/>
                    <w:rPr>
                      <w:rFonts w:asciiTheme="minorHAnsi" w:hAnsiTheme="minorHAnsi"/>
                      <w:sz w:val="20"/>
                      <w:szCs w:val="20"/>
                    </w:rPr>
                  </w:pPr>
                  <w:r w:rsidRPr="008A7D70">
                    <w:rPr>
                      <w:rFonts w:asciiTheme="minorHAnsi" w:hAnsiTheme="minorHAnsi"/>
                      <w:sz w:val="20"/>
                      <w:szCs w:val="20"/>
                    </w:rPr>
                    <w:t>Kentucky Department for Public Health</w:t>
                  </w:r>
                </w:p>
                <w:p w14:paraId="18238D8B" w14:textId="77777777" w:rsidR="0025357A" w:rsidRPr="008A7D70" w:rsidRDefault="0025357A" w:rsidP="0025357A">
                  <w:pPr>
                    <w:jc w:val="both"/>
                    <w:rPr>
                      <w:rFonts w:asciiTheme="minorHAnsi" w:hAnsiTheme="minorHAnsi"/>
                      <w:sz w:val="20"/>
                      <w:szCs w:val="20"/>
                    </w:rPr>
                  </w:pPr>
                  <w:r w:rsidRPr="008A7D70">
                    <w:rPr>
                      <w:rFonts w:asciiTheme="minorHAnsi" w:hAnsiTheme="minorHAnsi"/>
                      <w:sz w:val="20"/>
                      <w:szCs w:val="20"/>
                    </w:rPr>
                    <w:t>400 Professional Drive</w:t>
                  </w:r>
                </w:p>
                <w:p w14:paraId="26F9C41F" w14:textId="77777777" w:rsidR="0025357A" w:rsidRPr="008A7D70" w:rsidRDefault="0025357A" w:rsidP="0025357A">
                  <w:pPr>
                    <w:jc w:val="both"/>
                    <w:rPr>
                      <w:rFonts w:asciiTheme="minorHAnsi" w:hAnsiTheme="minorHAnsi"/>
                      <w:sz w:val="20"/>
                      <w:szCs w:val="20"/>
                    </w:rPr>
                  </w:pPr>
                  <w:r w:rsidRPr="008A7D70">
                    <w:rPr>
                      <w:rFonts w:asciiTheme="minorHAnsi" w:hAnsiTheme="minorHAnsi"/>
                      <w:sz w:val="20"/>
                      <w:szCs w:val="20"/>
                    </w:rPr>
                    <w:t>Winchester, KY 40391</w:t>
                  </w:r>
                </w:p>
                <w:p w14:paraId="56E59CB2" w14:textId="77777777" w:rsidR="0025357A" w:rsidRPr="008A7D70" w:rsidRDefault="0025357A" w:rsidP="0025357A">
                  <w:pPr>
                    <w:jc w:val="both"/>
                    <w:rPr>
                      <w:rFonts w:asciiTheme="minorHAnsi" w:hAnsiTheme="minorHAnsi"/>
                      <w:sz w:val="20"/>
                      <w:szCs w:val="20"/>
                    </w:rPr>
                  </w:pPr>
                  <w:r w:rsidRPr="008A7D70">
                    <w:rPr>
                      <w:rFonts w:asciiTheme="minorHAnsi" w:hAnsiTheme="minorHAnsi"/>
                      <w:sz w:val="20"/>
                      <w:szCs w:val="20"/>
                    </w:rPr>
                    <w:t xml:space="preserve">Phone: (502) 905-9969 </w:t>
                  </w:r>
                </w:p>
                <w:p w14:paraId="41B944C9" w14:textId="77777777" w:rsidR="0025357A" w:rsidRDefault="0025357A" w:rsidP="0025357A">
                  <w:pPr>
                    <w:jc w:val="both"/>
                    <w:rPr>
                      <w:rStyle w:val="Hyperlink"/>
                      <w:rFonts w:asciiTheme="minorHAnsi" w:hAnsiTheme="minorHAnsi" w:cs="Arial"/>
                      <w:sz w:val="20"/>
                      <w:szCs w:val="20"/>
                    </w:rPr>
                  </w:pPr>
                  <w:r w:rsidRPr="008A7D70">
                    <w:rPr>
                      <w:rFonts w:asciiTheme="minorHAnsi" w:hAnsiTheme="minorHAnsi"/>
                      <w:sz w:val="20"/>
                      <w:szCs w:val="20"/>
                    </w:rPr>
                    <w:t xml:space="preserve">Email: </w:t>
                  </w:r>
                  <w:hyperlink r:id="rId10" w:history="1">
                    <w:r w:rsidRPr="008A7D70">
                      <w:rPr>
                        <w:rStyle w:val="Hyperlink"/>
                        <w:rFonts w:asciiTheme="minorHAnsi" w:hAnsiTheme="minorHAnsi" w:cs="Arial"/>
                        <w:sz w:val="20"/>
                        <w:szCs w:val="20"/>
                      </w:rPr>
                      <w:t>davidn.carney@ky.gov</w:t>
                    </w:r>
                  </w:hyperlink>
                </w:p>
                <w:p w14:paraId="732EEA9E" w14:textId="77777777" w:rsidR="0025357A" w:rsidRDefault="0025357A" w:rsidP="00DB142B">
                  <w:pPr>
                    <w:jc w:val="both"/>
                    <w:rPr>
                      <w:rStyle w:val="Hyperlink"/>
                      <w:rFonts w:asciiTheme="minorHAnsi" w:hAnsiTheme="minorHAnsi" w:cs="Arial"/>
                      <w:sz w:val="20"/>
                      <w:szCs w:val="20"/>
                    </w:rPr>
                  </w:pPr>
                </w:p>
              </w:tc>
              <w:tc>
                <w:tcPr>
                  <w:tcW w:w="3578" w:type="dxa"/>
                </w:tcPr>
                <w:p w14:paraId="188D31AB" w14:textId="1D533A29" w:rsidR="0025357A" w:rsidRDefault="0025357A" w:rsidP="0025357A">
                  <w:pPr>
                    <w:jc w:val="both"/>
                    <w:rPr>
                      <w:rFonts w:asciiTheme="minorHAnsi" w:hAnsiTheme="minorHAnsi"/>
                      <w:b/>
                      <w:sz w:val="20"/>
                      <w:szCs w:val="20"/>
                    </w:rPr>
                  </w:pPr>
                  <w:r>
                    <w:rPr>
                      <w:rFonts w:asciiTheme="minorHAnsi" w:hAnsiTheme="minorHAnsi"/>
                      <w:b/>
                      <w:sz w:val="20"/>
                      <w:szCs w:val="20"/>
                    </w:rPr>
                    <w:t>Rebecca L Hardin, CHES</w:t>
                  </w:r>
                </w:p>
                <w:p w14:paraId="1CEB074C" w14:textId="788E6C6D" w:rsidR="0025357A" w:rsidRDefault="0025357A" w:rsidP="0025357A">
                  <w:pPr>
                    <w:jc w:val="both"/>
                    <w:rPr>
                      <w:rFonts w:asciiTheme="minorHAnsi" w:hAnsiTheme="minorHAnsi"/>
                      <w:sz w:val="20"/>
                      <w:szCs w:val="20"/>
                    </w:rPr>
                  </w:pPr>
                  <w:r>
                    <w:rPr>
                      <w:rFonts w:asciiTheme="minorHAnsi" w:hAnsiTheme="minorHAnsi"/>
                      <w:sz w:val="20"/>
                      <w:szCs w:val="20"/>
                    </w:rPr>
                    <w:t>Regional Preparedness Coordinator</w:t>
                  </w:r>
                </w:p>
                <w:p w14:paraId="0AE27721" w14:textId="75BDBECC" w:rsidR="0025357A" w:rsidRDefault="0025357A" w:rsidP="0025357A">
                  <w:pPr>
                    <w:jc w:val="both"/>
                    <w:rPr>
                      <w:rFonts w:asciiTheme="minorHAnsi" w:hAnsiTheme="minorHAnsi"/>
                      <w:sz w:val="20"/>
                      <w:szCs w:val="20"/>
                    </w:rPr>
                  </w:pPr>
                  <w:r>
                    <w:rPr>
                      <w:rFonts w:asciiTheme="minorHAnsi" w:hAnsiTheme="minorHAnsi"/>
                      <w:sz w:val="20"/>
                      <w:szCs w:val="20"/>
                    </w:rPr>
                    <w:t>Region 15W</w:t>
                  </w:r>
                </w:p>
                <w:p w14:paraId="0B4D8911" w14:textId="338029E9" w:rsidR="0025357A" w:rsidRDefault="0025357A" w:rsidP="0025357A">
                  <w:pPr>
                    <w:jc w:val="both"/>
                    <w:rPr>
                      <w:rFonts w:asciiTheme="minorHAnsi" w:hAnsiTheme="minorHAnsi"/>
                      <w:sz w:val="20"/>
                      <w:szCs w:val="20"/>
                    </w:rPr>
                  </w:pPr>
                  <w:r>
                    <w:rPr>
                      <w:rFonts w:asciiTheme="minorHAnsi" w:hAnsiTheme="minorHAnsi"/>
                      <w:sz w:val="20"/>
                      <w:szCs w:val="20"/>
                    </w:rPr>
                    <w:t>Kentucky Department for Public Health</w:t>
                  </w:r>
                </w:p>
                <w:p w14:paraId="56D4A343" w14:textId="26200DD8" w:rsidR="0025357A" w:rsidRDefault="0025357A" w:rsidP="0025357A">
                  <w:pPr>
                    <w:jc w:val="both"/>
                    <w:rPr>
                      <w:rFonts w:asciiTheme="minorHAnsi" w:hAnsiTheme="minorHAnsi"/>
                      <w:sz w:val="20"/>
                      <w:szCs w:val="20"/>
                    </w:rPr>
                  </w:pPr>
                  <w:r>
                    <w:rPr>
                      <w:rFonts w:asciiTheme="minorHAnsi" w:hAnsiTheme="minorHAnsi"/>
                      <w:sz w:val="20"/>
                      <w:szCs w:val="20"/>
                    </w:rPr>
                    <w:t>448 South 3</w:t>
                  </w:r>
                  <w:r w:rsidRPr="0025357A">
                    <w:rPr>
                      <w:rFonts w:asciiTheme="minorHAnsi" w:hAnsiTheme="minorHAnsi"/>
                      <w:sz w:val="20"/>
                      <w:szCs w:val="20"/>
                      <w:vertAlign w:val="superscript"/>
                    </w:rPr>
                    <w:t>rd</w:t>
                  </w:r>
                  <w:r>
                    <w:rPr>
                      <w:rFonts w:asciiTheme="minorHAnsi" w:hAnsiTheme="minorHAnsi"/>
                      <w:sz w:val="20"/>
                      <w:szCs w:val="20"/>
                    </w:rPr>
                    <w:t xml:space="preserve"> St</w:t>
                  </w:r>
                </w:p>
                <w:p w14:paraId="36BFD2AA" w14:textId="142831CB" w:rsidR="0025357A" w:rsidRDefault="0025357A" w:rsidP="0025357A">
                  <w:pPr>
                    <w:jc w:val="both"/>
                    <w:rPr>
                      <w:rFonts w:asciiTheme="minorHAnsi" w:hAnsiTheme="minorHAnsi"/>
                      <w:sz w:val="20"/>
                      <w:szCs w:val="20"/>
                    </w:rPr>
                  </w:pPr>
                  <w:r>
                    <w:rPr>
                      <w:rFonts w:asciiTheme="minorHAnsi" w:hAnsiTheme="minorHAnsi"/>
                      <w:sz w:val="20"/>
                      <w:szCs w:val="20"/>
                    </w:rPr>
                    <w:t>Danville, KY  40422</w:t>
                  </w:r>
                </w:p>
                <w:p w14:paraId="650B0459" w14:textId="30CD671E" w:rsidR="0025357A" w:rsidRDefault="00A639B2" w:rsidP="0025357A">
                  <w:pPr>
                    <w:jc w:val="both"/>
                    <w:rPr>
                      <w:rFonts w:asciiTheme="minorHAnsi" w:hAnsiTheme="minorHAnsi"/>
                      <w:sz w:val="20"/>
                      <w:szCs w:val="20"/>
                    </w:rPr>
                  </w:pPr>
                  <w:r>
                    <w:rPr>
                      <w:rFonts w:asciiTheme="minorHAnsi" w:hAnsiTheme="minorHAnsi"/>
                      <w:sz w:val="20"/>
                      <w:szCs w:val="20"/>
                    </w:rPr>
                    <w:t xml:space="preserve">Phone: </w:t>
                  </w:r>
                  <w:r w:rsidR="0025357A">
                    <w:rPr>
                      <w:rFonts w:asciiTheme="minorHAnsi" w:hAnsiTheme="minorHAnsi"/>
                      <w:sz w:val="20"/>
                      <w:szCs w:val="20"/>
                    </w:rPr>
                    <w:t>(502) 352-8319</w:t>
                  </w:r>
                </w:p>
                <w:p w14:paraId="249229EB" w14:textId="2C9D64ED" w:rsidR="0025357A" w:rsidRPr="0025357A" w:rsidRDefault="0025357A" w:rsidP="0025357A">
                  <w:pPr>
                    <w:jc w:val="both"/>
                    <w:rPr>
                      <w:rFonts w:asciiTheme="minorHAnsi" w:hAnsiTheme="minorHAnsi"/>
                      <w:sz w:val="20"/>
                      <w:szCs w:val="20"/>
                    </w:rPr>
                  </w:pPr>
                  <w:r>
                    <w:rPr>
                      <w:rFonts w:asciiTheme="minorHAnsi" w:hAnsiTheme="minorHAnsi"/>
                      <w:sz w:val="20"/>
                      <w:szCs w:val="20"/>
                    </w:rPr>
                    <w:t xml:space="preserve">Email: </w:t>
                  </w:r>
                  <w:hyperlink r:id="rId11" w:history="1">
                    <w:r w:rsidRPr="00E3402C">
                      <w:rPr>
                        <w:rStyle w:val="Hyperlink"/>
                        <w:rFonts w:asciiTheme="minorHAnsi" w:hAnsiTheme="minorHAnsi"/>
                        <w:sz w:val="20"/>
                        <w:szCs w:val="20"/>
                      </w:rPr>
                      <w:t>rebeccaL.hardin@ky.gov</w:t>
                    </w:r>
                  </w:hyperlink>
                  <w:r>
                    <w:rPr>
                      <w:rFonts w:asciiTheme="minorHAnsi" w:hAnsiTheme="minorHAnsi"/>
                      <w:sz w:val="20"/>
                      <w:szCs w:val="20"/>
                    </w:rPr>
                    <w:t xml:space="preserve"> </w:t>
                  </w:r>
                </w:p>
                <w:p w14:paraId="69EBA4CF" w14:textId="1BF91B77" w:rsidR="0025357A" w:rsidRDefault="0025357A" w:rsidP="00DB142B">
                  <w:pPr>
                    <w:jc w:val="both"/>
                    <w:rPr>
                      <w:rStyle w:val="Hyperlink"/>
                      <w:rFonts w:asciiTheme="minorHAnsi" w:hAnsiTheme="minorHAnsi" w:cs="Arial"/>
                      <w:sz w:val="20"/>
                      <w:szCs w:val="20"/>
                    </w:rPr>
                  </w:pPr>
                </w:p>
              </w:tc>
            </w:tr>
            <w:tr w:rsidR="0025357A" w14:paraId="6678CC91" w14:textId="77777777" w:rsidTr="00A639B2">
              <w:tc>
                <w:tcPr>
                  <w:tcW w:w="3578" w:type="dxa"/>
                </w:tcPr>
                <w:p w14:paraId="3B1CC528" w14:textId="77777777" w:rsidR="0025357A" w:rsidRPr="00A639B2" w:rsidRDefault="00A639B2" w:rsidP="00DB142B">
                  <w:pPr>
                    <w:jc w:val="both"/>
                    <w:rPr>
                      <w:rFonts w:asciiTheme="minorHAnsi" w:hAnsiTheme="minorHAnsi" w:cstheme="minorHAnsi"/>
                      <w:b/>
                      <w:sz w:val="20"/>
                      <w:szCs w:val="20"/>
                    </w:rPr>
                  </w:pPr>
                  <w:r w:rsidRPr="00A639B2">
                    <w:rPr>
                      <w:rFonts w:asciiTheme="minorHAnsi" w:hAnsiTheme="minorHAnsi" w:cstheme="minorHAnsi"/>
                      <w:b/>
                      <w:sz w:val="20"/>
                      <w:szCs w:val="20"/>
                    </w:rPr>
                    <w:t>Kim Yazell</w:t>
                  </w:r>
                </w:p>
                <w:p w14:paraId="36331703" w14:textId="77777777" w:rsidR="00A639B2" w:rsidRPr="00A639B2" w:rsidRDefault="00A639B2" w:rsidP="00A639B2">
                  <w:pPr>
                    <w:rPr>
                      <w:sz w:val="20"/>
                      <w:szCs w:val="20"/>
                    </w:rPr>
                  </w:pPr>
                  <w:r w:rsidRPr="00A639B2">
                    <w:rPr>
                      <w:sz w:val="20"/>
                      <w:szCs w:val="20"/>
                    </w:rPr>
                    <w:t>RPC / Community Section Supervisor</w:t>
                  </w:r>
                </w:p>
                <w:p w14:paraId="73F05C07" w14:textId="77777777" w:rsidR="00A639B2" w:rsidRPr="00A639B2" w:rsidRDefault="00A639B2" w:rsidP="00A639B2">
                  <w:pPr>
                    <w:rPr>
                      <w:sz w:val="20"/>
                      <w:szCs w:val="20"/>
                    </w:rPr>
                  </w:pPr>
                  <w:r w:rsidRPr="00A639B2">
                    <w:rPr>
                      <w:sz w:val="20"/>
                      <w:szCs w:val="20"/>
                    </w:rPr>
                    <w:t>Kentucky Department for Public Health</w:t>
                  </w:r>
                </w:p>
                <w:p w14:paraId="14002338" w14:textId="77777777" w:rsidR="00A639B2" w:rsidRPr="00A639B2" w:rsidRDefault="00A639B2" w:rsidP="00A639B2">
                  <w:pPr>
                    <w:rPr>
                      <w:sz w:val="20"/>
                      <w:szCs w:val="20"/>
                    </w:rPr>
                  </w:pPr>
                  <w:r w:rsidRPr="00A639B2">
                    <w:rPr>
                      <w:sz w:val="20"/>
                      <w:szCs w:val="20"/>
                    </w:rPr>
                    <w:t>210 E Walnut Street</w:t>
                  </w:r>
                </w:p>
                <w:p w14:paraId="48034817" w14:textId="77777777" w:rsidR="00A639B2" w:rsidRDefault="00A639B2" w:rsidP="00A639B2">
                  <w:pPr>
                    <w:rPr>
                      <w:sz w:val="20"/>
                      <w:szCs w:val="20"/>
                    </w:rPr>
                  </w:pPr>
                  <w:r w:rsidRPr="00A639B2">
                    <w:rPr>
                      <w:sz w:val="20"/>
                      <w:szCs w:val="20"/>
                    </w:rPr>
                    <w:t>Nicholasville, KY  40356</w:t>
                  </w:r>
                </w:p>
                <w:p w14:paraId="666820AF" w14:textId="77777777" w:rsidR="00A639B2" w:rsidRDefault="00A639B2" w:rsidP="00A639B2">
                  <w:pPr>
                    <w:rPr>
                      <w:sz w:val="20"/>
                      <w:szCs w:val="20"/>
                    </w:rPr>
                  </w:pPr>
                  <w:r>
                    <w:rPr>
                      <w:sz w:val="20"/>
                      <w:szCs w:val="20"/>
                    </w:rPr>
                    <w:t>Phone: (502) 229-5573</w:t>
                  </w:r>
                </w:p>
                <w:p w14:paraId="7ED36E66" w14:textId="6D7D733E" w:rsidR="00A639B2" w:rsidRDefault="00A639B2" w:rsidP="00A639B2">
                  <w:pPr>
                    <w:rPr>
                      <w:rStyle w:val="Hyperlink"/>
                      <w:rFonts w:asciiTheme="minorHAnsi" w:hAnsiTheme="minorHAnsi" w:cs="Arial"/>
                      <w:sz w:val="20"/>
                      <w:szCs w:val="20"/>
                    </w:rPr>
                  </w:pPr>
                  <w:r>
                    <w:rPr>
                      <w:sz w:val="20"/>
                      <w:szCs w:val="20"/>
                    </w:rPr>
                    <w:t xml:space="preserve">Email: </w:t>
                  </w:r>
                  <w:hyperlink r:id="rId12" w:history="1">
                    <w:r w:rsidRPr="00E3402C">
                      <w:rPr>
                        <w:rStyle w:val="Hyperlink"/>
                        <w:sz w:val="20"/>
                        <w:szCs w:val="20"/>
                      </w:rPr>
                      <w:t>kimd.yazell@ky.gov</w:t>
                    </w:r>
                  </w:hyperlink>
                  <w:r>
                    <w:rPr>
                      <w:sz w:val="20"/>
                      <w:szCs w:val="20"/>
                    </w:rPr>
                    <w:t xml:space="preserve"> </w:t>
                  </w:r>
                </w:p>
              </w:tc>
              <w:tc>
                <w:tcPr>
                  <w:tcW w:w="3578" w:type="dxa"/>
                </w:tcPr>
                <w:p w14:paraId="7F8CEDF7" w14:textId="4B9622E4" w:rsidR="00A639B2" w:rsidRPr="00A639B2" w:rsidRDefault="00A639B2" w:rsidP="00A639B2">
                  <w:pPr>
                    <w:jc w:val="both"/>
                    <w:rPr>
                      <w:rFonts w:asciiTheme="minorHAnsi" w:hAnsiTheme="minorHAnsi" w:cstheme="minorHAnsi"/>
                      <w:b/>
                      <w:sz w:val="20"/>
                      <w:szCs w:val="20"/>
                    </w:rPr>
                  </w:pPr>
                  <w:r>
                    <w:rPr>
                      <w:rFonts w:asciiTheme="minorHAnsi" w:hAnsiTheme="minorHAnsi" w:cstheme="minorHAnsi"/>
                      <w:b/>
                      <w:sz w:val="20"/>
                      <w:szCs w:val="20"/>
                    </w:rPr>
                    <w:t>Vicki Sanderson</w:t>
                  </w:r>
                </w:p>
                <w:p w14:paraId="5C92191C" w14:textId="37899443" w:rsidR="00A639B2" w:rsidRDefault="00A639B2" w:rsidP="00A639B2">
                  <w:pPr>
                    <w:rPr>
                      <w:sz w:val="20"/>
                      <w:szCs w:val="20"/>
                    </w:rPr>
                  </w:pPr>
                  <w:r>
                    <w:rPr>
                      <w:sz w:val="20"/>
                      <w:szCs w:val="20"/>
                    </w:rPr>
                    <w:t>Regional Preparedness Coordinator</w:t>
                  </w:r>
                </w:p>
                <w:p w14:paraId="34099ED0" w14:textId="1FF80580" w:rsidR="00A639B2" w:rsidRPr="00A639B2" w:rsidRDefault="00A639B2" w:rsidP="00A639B2">
                  <w:pPr>
                    <w:rPr>
                      <w:sz w:val="20"/>
                      <w:szCs w:val="20"/>
                    </w:rPr>
                  </w:pPr>
                  <w:r>
                    <w:rPr>
                      <w:sz w:val="20"/>
                      <w:szCs w:val="20"/>
                    </w:rPr>
                    <w:t>Region 15E</w:t>
                  </w:r>
                </w:p>
                <w:p w14:paraId="6BDA3517" w14:textId="77777777" w:rsidR="00A639B2" w:rsidRPr="00A639B2" w:rsidRDefault="00A639B2" w:rsidP="00A639B2">
                  <w:pPr>
                    <w:rPr>
                      <w:sz w:val="20"/>
                      <w:szCs w:val="20"/>
                    </w:rPr>
                  </w:pPr>
                  <w:r w:rsidRPr="00A639B2">
                    <w:rPr>
                      <w:sz w:val="20"/>
                      <w:szCs w:val="20"/>
                    </w:rPr>
                    <w:t>Kentucky Department for Public Health</w:t>
                  </w:r>
                </w:p>
                <w:p w14:paraId="2D339F1B" w14:textId="35CE3D4E" w:rsidR="00A639B2" w:rsidRPr="00A639B2" w:rsidRDefault="00A639B2" w:rsidP="00A639B2">
                  <w:pPr>
                    <w:rPr>
                      <w:sz w:val="20"/>
                      <w:szCs w:val="20"/>
                    </w:rPr>
                  </w:pPr>
                  <w:r>
                    <w:rPr>
                      <w:sz w:val="20"/>
                      <w:szCs w:val="20"/>
                    </w:rPr>
                    <w:t>115 Cisco Rd</w:t>
                  </w:r>
                </w:p>
                <w:p w14:paraId="306B8A14" w14:textId="740F85BC" w:rsidR="00A639B2" w:rsidRDefault="00A639B2" w:rsidP="00A639B2">
                  <w:pPr>
                    <w:rPr>
                      <w:sz w:val="20"/>
                      <w:szCs w:val="20"/>
                    </w:rPr>
                  </w:pPr>
                  <w:r>
                    <w:rPr>
                      <w:sz w:val="20"/>
                      <w:szCs w:val="20"/>
                    </w:rPr>
                    <w:t>Lexington,  KY  40504</w:t>
                  </w:r>
                </w:p>
                <w:p w14:paraId="289CEEBE" w14:textId="6C759910" w:rsidR="00A639B2" w:rsidRDefault="00A639B2" w:rsidP="00A639B2">
                  <w:pPr>
                    <w:rPr>
                      <w:sz w:val="20"/>
                      <w:szCs w:val="20"/>
                    </w:rPr>
                  </w:pPr>
                  <w:r>
                    <w:rPr>
                      <w:sz w:val="20"/>
                      <w:szCs w:val="20"/>
                    </w:rPr>
                    <w:t>Phone: (502) 352-8263</w:t>
                  </w:r>
                </w:p>
                <w:p w14:paraId="46DD3E79" w14:textId="77777777" w:rsidR="0025357A" w:rsidRDefault="00A639B2" w:rsidP="00A639B2">
                  <w:pPr>
                    <w:jc w:val="both"/>
                    <w:rPr>
                      <w:sz w:val="20"/>
                      <w:szCs w:val="20"/>
                    </w:rPr>
                  </w:pPr>
                  <w:r>
                    <w:rPr>
                      <w:sz w:val="20"/>
                      <w:szCs w:val="20"/>
                    </w:rPr>
                    <w:t xml:space="preserve">Email: </w:t>
                  </w:r>
                  <w:hyperlink r:id="rId13" w:history="1">
                    <w:r w:rsidRPr="00E3402C">
                      <w:rPr>
                        <w:rStyle w:val="Hyperlink"/>
                        <w:sz w:val="20"/>
                        <w:szCs w:val="20"/>
                      </w:rPr>
                      <w:t>vicki.sanderson@ky.gov</w:t>
                    </w:r>
                  </w:hyperlink>
                  <w:r>
                    <w:rPr>
                      <w:sz w:val="20"/>
                      <w:szCs w:val="20"/>
                    </w:rPr>
                    <w:t xml:space="preserve"> </w:t>
                  </w:r>
                </w:p>
                <w:p w14:paraId="103F464E" w14:textId="48001973" w:rsidR="00A639B2" w:rsidRDefault="00A639B2" w:rsidP="00A639B2">
                  <w:pPr>
                    <w:jc w:val="both"/>
                    <w:rPr>
                      <w:rStyle w:val="Hyperlink"/>
                      <w:rFonts w:asciiTheme="minorHAnsi" w:hAnsiTheme="minorHAnsi" w:cs="Arial"/>
                      <w:sz w:val="20"/>
                      <w:szCs w:val="20"/>
                    </w:rPr>
                  </w:pPr>
                </w:p>
              </w:tc>
            </w:tr>
          </w:tbl>
          <w:p w14:paraId="667E88A6" w14:textId="77777777" w:rsidR="0025357A" w:rsidRDefault="0025357A" w:rsidP="00DB142B">
            <w:pPr>
              <w:jc w:val="both"/>
              <w:rPr>
                <w:rStyle w:val="Hyperlink"/>
                <w:rFonts w:asciiTheme="minorHAnsi" w:hAnsiTheme="minorHAnsi" w:cs="Arial"/>
                <w:sz w:val="20"/>
                <w:szCs w:val="20"/>
              </w:rPr>
            </w:pPr>
          </w:p>
          <w:p w14:paraId="6F158B97" w14:textId="3A6543DD" w:rsidR="00DB142B" w:rsidRDefault="00DB142B" w:rsidP="00DB142B">
            <w:pPr>
              <w:jc w:val="both"/>
              <w:rPr>
                <w:rStyle w:val="Hyperlink"/>
                <w:rFonts w:asciiTheme="minorHAnsi" w:hAnsiTheme="minorHAnsi" w:cs="Arial"/>
                <w:sz w:val="20"/>
                <w:szCs w:val="20"/>
              </w:rPr>
            </w:pPr>
          </w:p>
          <w:p w14:paraId="59E94BE7" w14:textId="77777777" w:rsidR="00DB142B" w:rsidRPr="008A7D70" w:rsidRDefault="00DB142B" w:rsidP="00DB142B">
            <w:pPr>
              <w:jc w:val="both"/>
              <w:rPr>
                <w:rStyle w:val="Hyperlink"/>
                <w:rFonts w:cs="Arial"/>
                <w:sz w:val="20"/>
                <w:szCs w:val="20"/>
              </w:rPr>
            </w:pPr>
          </w:p>
          <w:p w14:paraId="3801B09A" w14:textId="7029B4F9" w:rsidR="00D27750" w:rsidRPr="005E65BE" w:rsidRDefault="00D27750" w:rsidP="00D24AFE">
            <w:pPr>
              <w:pStyle w:val="Tabletext"/>
              <w:rPr>
                <w:highlight w:val="lightGray"/>
              </w:rPr>
            </w:pPr>
          </w:p>
        </w:tc>
      </w:tr>
    </w:tbl>
    <w:p w14:paraId="3801B09D" w14:textId="77777777" w:rsidR="006746F8" w:rsidRPr="00B51EF7" w:rsidRDefault="006746F8" w:rsidP="006746F8">
      <w:pPr>
        <w:pStyle w:val="BodyText"/>
        <w:sectPr w:rsidR="006746F8" w:rsidRPr="00B51EF7" w:rsidSect="00A56ED7">
          <w:headerReference w:type="default" r:id="rId14"/>
          <w:footerReference w:type="default" r:id="rId15"/>
          <w:pgSz w:w="12240" w:h="15840" w:code="1"/>
          <w:pgMar w:top="1440" w:right="1440" w:bottom="1440" w:left="1440" w:header="720" w:footer="720" w:gutter="0"/>
          <w:pgNumType w:start="1"/>
          <w:cols w:space="720"/>
          <w:docGrid w:linePitch="360"/>
        </w:sectPr>
      </w:pPr>
    </w:p>
    <w:p w14:paraId="44F0D2B5" w14:textId="5AB9EDBB" w:rsidR="002C5578" w:rsidRDefault="002C5578" w:rsidP="00DB142B">
      <w:pPr>
        <w:pStyle w:val="Heading1"/>
        <w:rPr>
          <w:rFonts w:ascii="Arial" w:hAnsi="Arial"/>
        </w:rPr>
      </w:pPr>
      <w:r>
        <w:rPr>
          <w:rFonts w:ascii="Arial" w:hAnsi="Arial"/>
        </w:rPr>
        <w:lastRenderedPageBreak/>
        <w:t>Executive Summary</w:t>
      </w:r>
    </w:p>
    <w:p w14:paraId="29E1F7A6" w14:textId="4F5A2263" w:rsidR="0038733F" w:rsidRDefault="009E0887" w:rsidP="0038733F">
      <w:pPr>
        <w:pStyle w:val="BodyText"/>
      </w:pPr>
      <w:r>
        <w:t>Initial n</w:t>
      </w:r>
      <w:r w:rsidR="00654EBA">
        <w:t>ews reports established the spread of COVID-19 cases was occurring within the United Stat</w:t>
      </w:r>
      <w:r>
        <w:t xml:space="preserve">es in late January of 2020 into early </w:t>
      </w:r>
      <w:r w:rsidR="00654EBA">
        <w:t>February</w:t>
      </w:r>
      <w:r>
        <w:t>.  Chinese officials were attempting</w:t>
      </w:r>
      <w:r w:rsidR="00654EBA">
        <w:t xml:space="preserve"> to place restrictions on travel due to multiple cases being reported but the virus had already </w:t>
      </w:r>
      <w:r>
        <w:t xml:space="preserve">subsequently </w:t>
      </w:r>
      <w:r w:rsidR="00654EBA">
        <w:t xml:space="preserve">found its way into the US.  </w:t>
      </w:r>
    </w:p>
    <w:p w14:paraId="4A6C4ADC" w14:textId="0E095B9D" w:rsidR="00BD2C87" w:rsidRDefault="00654EBA" w:rsidP="0038733F">
      <w:pPr>
        <w:pStyle w:val="BodyText"/>
      </w:pPr>
      <w:r>
        <w:t>On March 6</w:t>
      </w:r>
      <w:r w:rsidRPr="00654EBA">
        <w:rPr>
          <w:vertAlign w:val="superscript"/>
        </w:rPr>
        <w:t>th</w:t>
      </w:r>
      <w:r w:rsidR="0009336E">
        <w:t xml:space="preserve"> 2020, Governor </w:t>
      </w:r>
      <w:proofErr w:type="spellStart"/>
      <w:r>
        <w:t>Beshear</w:t>
      </w:r>
      <w:proofErr w:type="spellEnd"/>
      <w:r>
        <w:t xml:space="preserve"> </w:t>
      </w:r>
      <w:r w:rsidR="009E0887">
        <w:t xml:space="preserve">held a press conference and </w:t>
      </w:r>
      <w:r>
        <w:t>announced Kentucky’s first confirmed COVID-19 case.  The patient was</w:t>
      </w:r>
      <w:r w:rsidR="00515A72">
        <w:t xml:space="preserve"> admitted to a Lexington hospital where they were</w:t>
      </w:r>
      <w:r w:rsidR="0009336E">
        <w:t xml:space="preserve"> being</w:t>
      </w:r>
      <w:r w:rsidR="00515A72">
        <w:t xml:space="preserve"> treated and isolated.  </w:t>
      </w:r>
      <w:r>
        <w:t xml:space="preserve">  Later it was disclosed this person was an</w:t>
      </w:r>
      <w:r w:rsidR="0009336E">
        <w:t xml:space="preserve"> employee who worked at a Wal-Mart in Harrison County</w:t>
      </w:r>
      <w:r>
        <w:t>.  The individual had no travel history</w:t>
      </w:r>
      <w:r w:rsidR="0009336E">
        <w:t>.  N</w:t>
      </w:r>
      <w:r>
        <w:t>o</w:t>
      </w:r>
      <w:r w:rsidR="0009336E">
        <w:t xml:space="preserve"> connection was made to how this person</w:t>
      </w:r>
      <w:r>
        <w:t xml:space="preserve"> became infected</w:t>
      </w:r>
      <w:r w:rsidR="0009336E">
        <w:t xml:space="preserve"> with the virus</w:t>
      </w:r>
      <w:r>
        <w:t>.</w:t>
      </w:r>
      <w:r w:rsidR="00BD2C87">
        <w:t xml:space="preserve">  Governor </w:t>
      </w:r>
      <w:proofErr w:type="spellStart"/>
      <w:r w:rsidR="00BD2C87">
        <w:t>Beshear</w:t>
      </w:r>
      <w:proofErr w:type="spellEnd"/>
      <w:r w:rsidR="00BD2C87">
        <w:t xml:space="preserve"> instituted a state of emergency and Kentucky Emergency Management activated the state’s emergency operation’s center to level 1. </w:t>
      </w:r>
    </w:p>
    <w:p w14:paraId="1F1BAC4E" w14:textId="6A39EA3E" w:rsidR="00515A72" w:rsidRDefault="00515A72" w:rsidP="0038733F">
      <w:pPr>
        <w:pStyle w:val="BodyText"/>
      </w:pPr>
      <w:r>
        <w:t xml:space="preserve">Following this initial report other cases started to </w:t>
      </w:r>
      <w:r w:rsidR="00C01826">
        <w:t>become more widespread across the state.  Local health departments activated their emergency operations center and initiated contact tracing surveillance.  Much was not known con</w:t>
      </w:r>
      <w:r w:rsidR="0009336E">
        <w:t>cerning information on COVID-19.  Additional guidance was needed</w:t>
      </w:r>
      <w:r w:rsidR="00C01826">
        <w:t xml:space="preserve"> from the State’s</w:t>
      </w:r>
      <w:r w:rsidR="0009336E">
        <w:t xml:space="preserve"> Public Health system</w:t>
      </w:r>
      <w:r w:rsidR="00C01826">
        <w:t xml:space="preserve">.  </w:t>
      </w:r>
    </w:p>
    <w:p w14:paraId="3194EC90" w14:textId="371CBF90" w:rsidR="00BD2C87" w:rsidRDefault="00C01826" w:rsidP="0038733F">
      <w:pPr>
        <w:pStyle w:val="BodyText"/>
      </w:pPr>
      <w:r>
        <w:t>Regional Response Coordination Centers</w:t>
      </w:r>
      <w:r w:rsidR="00BD2C87">
        <w:t xml:space="preserve"> (RRCC)</w:t>
      </w:r>
      <w:r>
        <w:t xml:space="preserve"> were activated and regional staff assisted in providing local health departm</w:t>
      </w:r>
      <w:r w:rsidR="00BD2C87">
        <w:t xml:space="preserve">ents and hospitals with current information as it became available.  Contacting tracing revealed the virus was highly contagious and isolating individuals was crucial to prevent further spread.  </w:t>
      </w:r>
      <w:r w:rsidR="0009336E">
        <w:t>The virus proved to have a far greater impact on</w:t>
      </w:r>
      <w:r w:rsidR="00BD2C87">
        <w:t xml:space="preserve"> indi</w:t>
      </w:r>
      <w:r w:rsidR="0009336E">
        <w:t>viduals with chronic issues and</w:t>
      </w:r>
      <w:r w:rsidR="00BD2C87">
        <w:t xml:space="preserve"> </w:t>
      </w:r>
      <w:r w:rsidR="0009336E">
        <w:t>elderly</w:t>
      </w:r>
      <w:r w:rsidR="00BD2C87">
        <w:t xml:space="preserve">. </w:t>
      </w:r>
      <w:r w:rsidR="00B40F03">
        <w:t xml:space="preserve"> Some individuals with far more severe symptoms required hospitalization. </w:t>
      </w:r>
      <w:r w:rsidR="00BD2C87">
        <w:t xml:space="preserve"> Much was not known h</w:t>
      </w:r>
      <w:r w:rsidR="00B40F03">
        <w:t xml:space="preserve">ow to effectively </w:t>
      </w:r>
      <w:r w:rsidR="00BD2C87">
        <w:t>provide treatment.</w:t>
      </w:r>
    </w:p>
    <w:p w14:paraId="50D75E1C" w14:textId="37C7B617" w:rsidR="00254CCF" w:rsidRDefault="00B40F03" w:rsidP="0038733F">
      <w:pPr>
        <w:pStyle w:val="BodyText"/>
      </w:pPr>
      <w:proofErr w:type="gramStart"/>
      <w:r>
        <w:t xml:space="preserve">Our </w:t>
      </w:r>
      <w:r w:rsidR="00BD2C87">
        <w:t xml:space="preserve"> RRCC</w:t>
      </w:r>
      <w:proofErr w:type="gramEnd"/>
      <w:r w:rsidR="00BD2C87">
        <w:t xml:space="preserve"> continued to provide information with stakeholders as it became available.  PPE shortages throughout the hospital chains became critically low.  Resources were requested from the State’s PPE </w:t>
      </w:r>
      <w:r w:rsidR="00254CCF">
        <w:t>cache to help fil</w:t>
      </w:r>
      <w:r w:rsidR="00F97375">
        <w:t>l in shortage</w:t>
      </w:r>
      <w:r>
        <w:t>s</w:t>
      </w:r>
      <w:r w:rsidR="00254CCF">
        <w:t xml:space="preserve">.  The Strategic National Stockpile (SNS) released additional PPE from its warehouse chain to resupply state warehouses as more and more cases were starting to populate the Commonwealth.  </w:t>
      </w:r>
    </w:p>
    <w:p w14:paraId="5B40E4A2" w14:textId="3D8FFFA3" w:rsidR="00F97375" w:rsidRDefault="00F97375" w:rsidP="0038733F">
      <w:pPr>
        <w:pStyle w:val="BodyText"/>
      </w:pPr>
      <w:r>
        <w:t xml:space="preserve">During the writing of this after action report the pandemic response has continued.  It was strongly encouraged for healthcare partners to determine strengths and </w:t>
      </w:r>
      <w:r w:rsidR="00DD417E">
        <w:t>weaknesses</w:t>
      </w:r>
      <w:r>
        <w:t xml:space="preserve"> during the initial phase of the pandemic.  A survey was sent by our RRCC team to regional partners so that input could be recorded of strengths and weaknesses.  The following items were determined to be the realized strengths: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417E" w14:paraId="5DAF84FB" w14:textId="77777777" w:rsidTr="00DD417E">
        <w:tc>
          <w:tcPr>
            <w:tcW w:w="4675" w:type="dxa"/>
          </w:tcPr>
          <w:p w14:paraId="1E576498" w14:textId="77777777" w:rsidR="00DD417E" w:rsidRDefault="00DD417E" w:rsidP="00703D1B">
            <w:pPr>
              <w:pStyle w:val="BodyText"/>
              <w:numPr>
                <w:ilvl w:val="0"/>
                <w:numId w:val="4"/>
              </w:numPr>
              <w:spacing w:after="0"/>
            </w:pPr>
            <w:r>
              <w:t>Weekly RRCC phone calls</w:t>
            </w:r>
          </w:p>
          <w:p w14:paraId="19BADAC3" w14:textId="77777777" w:rsidR="00DD417E" w:rsidRDefault="00DD417E" w:rsidP="00703D1B">
            <w:pPr>
              <w:pStyle w:val="BodyText"/>
              <w:numPr>
                <w:ilvl w:val="0"/>
                <w:numId w:val="4"/>
              </w:numPr>
              <w:spacing w:after="0"/>
            </w:pPr>
            <w:r>
              <w:t>Regional Distribution Warehouse</w:t>
            </w:r>
          </w:p>
          <w:p w14:paraId="30671F84" w14:textId="77777777" w:rsidR="00DD417E" w:rsidRDefault="00DD417E" w:rsidP="00703D1B">
            <w:pPr>
              <w:pStyle w:val="BodyText"/>
              <w:numPr>
                <w:ilvl w:val="0"/>
                <w:numId w:val="4"/>
              </w:numPr>
              <w:spacing w:after="0"/>
            </w:pPr>
            <w:r>
              <w:t>State COVID-19 website</w:t>
            </w:r>
          </w:p>
          <w:p w14:paraId="7F30D906" w14:textId="77777777" w:rsidR="00DD417E" w:rsidRDefault="00DD417E" w:rsidP="00703D1B">
            <w:pPr>
              <w:pStyle w:val="BodyText"/>
              <w:numPr>
                <w:ilvl w:val="0"/>
                <w:numId w:val="4"/>
              </w:numPr>
              <w:spacing w:after="0"/>
            </w:pPr>
            <w:r>
              <w:t>Governor’s support and response</w:t>
            </w:r>
          </w:p>
          <w:p w14:paraId="4BAE10A3" w14:textId="77777777" w:rsidR="00DD417E" w:rsidRDefault="00DD417E" w:rsidP="00DD417E">
            <w:pPr>
              <w:pStyle w:val="BodyText"/>
              <w:spacing w:after="0"/>
            </w:pPr>
          </w:p>
        </w:tc>
        <w:tc>
          <w:tcPr>
            <w:tcW w:w="4675" w:type="dxa"/>
          </w:tcPr>
          <w:p w14:paraId="2AD9EDAB" w14:textId="77777777" w:rsidR="00DD417E" w:rsidRDefault="00DD417E" w:rsidP="00703D1B">
            <w:pPr>
              <w:pStyle w:val="BodyText"/>
              <w:numPr>
                <w:ilvl w:val="0"/>
                <w:numId w:val="4"/>
              </w:numPr>
              <w:spacing w:after="0"/>
            </w:pPr>
            <w:r>
              <w:t>Local Public Health support</w:t>
            </w:r>
          </w:p>
          <w:p w14:paraId="4F60E7F3" w14:textId="77777777" w:rsidR="00DD417E" w:rsidRDefault="00DD417E" w:rsidP="00703D1B">
            <w:pPr>
              <w:pStyle w:val="BodyText"/>
              <w:numPr>
                <w:ilvl w:val="0"/>
                <w:numId w:val="4"/>
              </w:numPr>
              <w:spacing w:after="0"/>
            </w:pPr>
            <w:r>
              <w:t>State DPH support</w:t>
            </w:r>
          </w:p>
          <w:p w14:paraId="02B149FE" w14:textId="77777777" w:rsidR="00DD417E" w:rsidRDefault="00DD417E" w:rsidP="00703D1B">
            <w:pPr>
              <w:pStyle w:val="BodyText"/>
              <w:numPr>
                <w:ilvl w:val="0"/>
                <w:numId w:val="4"/>
              </w:numPr>
              <w:spacing w:after="0"/>
            </w:pPr>
            <w:r>
              <w:t>PPE request</w:t>
            </w:r>
          </w:p>
          <w:p w14:paraId="09533FCB" w14:textId="77777777" w:rsidR="00DD417E" w:rsidRDefault="00DD417E" w:rsidP="00703D1B">
            <w:pPr>
              <w:pStyle w:val="BodyText"/>
              <w:numPr>
                <w:ilvl w:val="0"/>
                <w:numId w:val="4"/>
              </w:numPr>
              <w:spacing w:after="0"/>
            </w:pPr>
            <w:r>
              <w:t>Regional sit rep</w:t>
            </w:r>
          </w:p>
          <w:p w14:paraId="6FC11780" w14:textId="2FDB9C86" w:rsidR="00DD417E" w:rsidRDefault="00DD417E" w:rsidP="00703D1B">
            <w:pPr>
              <w:pStyle w:val="BodyText"/>
              <w:numPr>
                <w:ilvl w:val="0"/>
                <w:numId w:val="4"/>
              </w:numPr>
              <w:spacing w:after="0"/>
            </w:pPr>
            <w:r>
              <w:t>Regional Response Coordination Center</w:t>
            </w:r>
          </w:p>
        </w:tc>
      </w:tr>
    </w:tbl>
    <w:p w14:paraId="63BA9F94" w14:textId="77777777" w:rsidR="00DD417E" w:rsidRDefault="00DD417E" w:rsidP="00DD417E">
      <w:pPr>
        <w:pStyle w:val="BodyText"/>
        <w:spacing w:after="0"/>
      </w:pPr>
    </w:p>
    <w:p w14:paraId="5BDAA45A" w14:textId="24F27148" w:rsidR="00BD2C87" w:rsidRDefault="00BD2C87" w:rsidP="0038733F">
      <w:pPr>
        <w:pStyle w:val="BodyText"/>
      </w:pPr>
    </w:p>
    <w:p w14:paraId="62A37B88" w14:textId="7953447A" w:rsidR="00654EBA" w:rsidRDefault="00DD417E" w:rsidP="0038733F">
      <w:pPr>
        <w:pStyle w:val="BodyText"/>
      </w:pPr>
      <w:r>
        <w:lastRenderedPageBreak/>
        <w:t>The following items were determined to be the realized gaps: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417E" w14:paraId="370249AA" w14:textId="77777777" w:rsidTr="00DD417E">
        <w:tc>
          <w:tcPr>
            <w:tcW w:w="4675" w:type="dxa"/>
          </w:tcPr>
          <w:p w14:paraId="435A3403" w14:textId="77777777" w:rsidR="00DD417E" w:rsidRDefault="00DD417E" w:rsidP="00703D1B">
            <w:pPr>
              <w:pStyle w:val="BodyText"/>
              <w:numPr>
                <w:ilvl w:val="0"/>
                <w:numId w:val="5"/>
              </w:numPr>
              <w:spacing w:after="0"/>
            </w:pPr>
            <w:r>
              <w:t>Clear funding guidance</w:t>
            </w:r>
          </w:p>
          <w:p w14:paraId="2423004A" w14:textId="77777777" w:rsidR="00DD417E" w:rsidRDefault="00DD417E" w:rsidP="00703D1B">
            <w:pPr>
              <w:pStyle w:val="BodyText"/>
              <w:numPr>
                <w:ilvl w:val="0"/>
                <w:numId w:val="5"/>
              </w:numPr>
              <w:spacing w:after="0"/>
            </w:pPr>
            <w:r>
              <w:t>Information distribution process</w:t>
            </w:r>
          </w:p>
          <w:p w14:paraId="5A74B029" w14:textId="77777777" w:rsidR="00DD417E" w:rsidRDefault="00DD417E" w:rsidP="00703D1B">
            <w:pPr>
              <w:pStyle w:val="BodyText"/>
              <w:numPr>
                <w:ilvl w:val="0"/>
                <w:numId w:val="5"/>
              </w:numPr>
              <w:spacing w:after="0"/>
            </w:pPr>
            <w:r>
              <w:t>COVID-19 compliance guidelines</w:t>
            </w:r>
          </w:p>
          <w:p w14:paraId="4C814911" w14:textId="64F4287B" w:rsidR="00DD417E" w:rsidRDefault="00DD417E" w:rsidP="00703D1B">
            <w:pPr>
              <w:pStyle w:val="BodyText"/>
              <w:numPr>
                <w:ilvl w:val="0"/>
                <w:numId w:val="5"/>
              </w:numPr>
              <w:spacing w:after="0"/>
            </w:pPr>
            <w:r>
              <w:t>Transportation needs for patients</w:t>
            </w:r>
          </w:p>
        </w:tc>
        <w:tc>
          <w:tcPr>
            <w:tcW w:w="4675" w:type="dxa"/>
          </w:tcPr>
          <w:p w14:paraId="6EAC749A" w14:textId="77777777" w:rsidR="00DD417E" w:rsidRDefault="00DD417E" w:rsidP="00703D1B">
            <w:pPr>
              <w:pStyle w:val="BodyText"/>
              <w:numPr>
                <w:ilvl w:val="0"/>
                <w:numId w:val="5"/>
              </w:numPr>
              <w:spacing w:after="0"/>
            </w:pPr>
            <w:r>
              <w:t>Access to testing supplies</w:t>
            </w:r>
          </w:p>
          <w:p w14:paraId="1E2E774C" w14:textId="77777777" w:rsidR="00DD417E" w:rsidRDefault="00DD417E" w:rsidP="00703D1B">
            <w:pPr>
              <w:pStyle w:val="BodyText"/>
              <w:numPr>
                <w:ilvl w:val="0"/>
                <w:numId w:val="5"/>
              </w:numPr>
              <w:spacing w:after="0"/>
            </w:pPr>
            <w:r>
              <w:t>Congregant center access</w:t>
            </w:r>
          </w:p>
          <w:p w14:paraId="16DCFDD3" w14:textId="08BB800E" w:rsidR="00DD417E" w:rsidRDefault="00DD417E" w:rsidP="00703D1B">
            <w:pPr>
              <w:pStyle w:val="BodyText"/>
              <w:numPr>
                <w:ilvl w:val="0"/>
                <w:numId w:val="5"/>
              </w:numPr>
              <w:spacing w:after="0"/>
            </w:pPr>
            <w:r>
              <w:t>PPE request process</w:t>
            </w:r>
          </w:p>
        </w:tc>
      </w:tr>
      <w:tr w:rsidR="00DD417E" w14:paraId="1C92D47C" w14:textId="77777777" w:rsidTr="00DD417E">
        <w:tc>
          <w:tcPr>
            <w:tcW w:w="4675" w:type="dxa"/>
          </w:tcPr>
          <w:p w14:paraId="3AC67090" w14:textId="77777777" w:rsidR="00DD417E" w:rsidRDefault="00DD417E" w:rsidP="00DD417E">
            <w:pPr>
              <w:pStyle w:val="BodyText"/>
              <w:spacing w:after="0"/>
            </w:pPr>
          </w:p>
          <w:p w14:paraId="77CD8520" w14:textId="590BF518" w:rsidR="00DD417E" w:rsidRDefault="00DD417E" w:rsidP="00DD417E">
            <w:pPr>
              <w:pStyle w:val="BodyText"/>
              <w:spacing w:after="0"/>
            </w:pPr>
          </w:p>
        </w:tc>
        <w:tc>
          <w:tcPr>
            <w:tcW w:w="4675" w:type="dxa"/>
          </w:tcPr>
          <w:p w14:paraId="22792526" w14:textId="77777777" w:rsidR="00DD417E" w:rsidRDefault="00DD417E" w:rsidP="00DD417E">
            <w:pPr>
              <w:pStyle w:val="BodyText"/>
              <w:spacing w:after="0"/>
            </w:pPr>
          </w:p>
        </w:tc>
      </w:tr>
    </w:tbl>
    <w:p w14:paraId="60763A20" w14:textId="59C92C0E" w:rsidR="00DD417E" w:rsidRDefault="00EB3A61" w:rsidP="0038733F">
      <w:pPr>
        <w:pStyle w:val="BodyText"/>
      </w:pPr>
      <w:r>
        <w:t xml:space="preserve">RRCCs deescalated to a monitoring status in late August </w:t>
      </w:r>
      <w:r w:rsidR="00B40F03">
        <w:t xml:space="preserve">of </w:t>
      </w:r>
      <w:r>
        <w:t>2020</w:t>
      </w:r>
      <w:r w:rsidR="00B40F03">
        <w:t xml:space="preserve">.  Our regional response team moved to operating virtually while continuing to support our healthcare partners by providing current information and conveying additional needs to the state. </w:t>
      </w:r>
      <w:r>
        <w:t xml:space="preserve">  </w:t>
      </w:r>
    </w:p>
    <w:p w14:paraId="77CD1C11" w14:textId="77777777" w:rsidR="00DD417E" w:rsidRDefault="00DD417E" w:rsidP="0038733F">
      <w:pPr>
        <w:pStyle w:val="BodyText"/>
      </w:pPr>
    </w:p>
    <w:p w14:paraId="12475BF5" w14:textId="528BD3C2" w:rsidR="0038733F" w:rsidRDefault="0038733F" w:rsidP="0038733F">
      <w:pPr>
        <w:pStyle w:val="BodyText"/>
      </w:pPr>
    </w:p>
    <w:p w14:paraId="59478C1F" w14:textId="12CA2EF2" w:rsidR="00EB3A61" w:rsidRDefault="00EB3A61" w:rsidP="0038733F">
      <w:pPr>
        <w:pStyle w:val="BodyText"/>
      </w:pPr>
    </w:p>
    <w:p w14:paraId="7177B45B" w14:textId="08964182" w:rsidR="00EB3A61" w:rsidRDefault="00EB3A61" w:rsidP="0038733F">
      <w:pPr>
        <w:pStyle w:val="BodyText"/>
      </w:pPr>
    </w:p>
    <w:p w14:paraId="075BC70F" w14:textId="71E618AC" w:rsidR="00EB3A61" w:rsidRDefault="00EB3A61" w:rsidP="0038733F">
      <w:pPr>
        <w:pStyle w:val="BodyText"/>
      </w:pPr>
    </w:p>
    <w:p w14:paraId="234D7446" w14:textId="0B405FCA" w:rsidR="00EB3A61" w:rsidRDefault="00EB3A61" w:rsidP="0038733F">
      <w:pPr>
        <w:pStyle w:val="BodyText"/>
      </w:pPr>
    </w:p>
    <w:p w14:paraId="3FA77B09" w14:textId="3C4E4DE1" w:rsidR="00EB3A61" w:rsidRDefault="00EB3A61" w:rsidP="0038733F">
      <w:pPr>
        <w:pStyle w:val="BodyText"/>
      </w:pPr>
    </w:p>
    <w:p w14:paraId="230E7560" w14:textId="1D0FC260" w:rsidR="00EB3A61" w:rsidRDefault="00EB3A61" w:rsidP="0038733F">
      <w:pPr>
        <w:pStyle w:val="BodyText"/>
      </w:pPr>
    </w:p>
    <w:p w14:paraId="00A0ABC7" w14:textId="7E771E3B" w:rsidR="00EB3A61" w:rsidRDefault="00EB3A61" w:rsidP="0038733F">
      <w:pPr>
        <w:pStyle w:val="BodyText"/>
      </w:pPr>
    </w:p>
    <w:p w14:paraId="3ACFBE03" w14:textId="23231E76" w:rsidR="00EB3A61" w:rsidRDefault="00EB3A61" w:rsidP="0038733F">
      <w:pPr>
        <w:pStyle w:val="BodyText"/>
      </w:pPr>
    </w:p>
    <w:p w14:paraId="1554566F" w14:textId="0FAF71C2" w:rsidR="00EB3A61" w:rsidRDefault="00EB3A61" w:rsidP="0038733F">
      <w:pPr>
        <w:pStyle w:val="BodyText"/>
      </w:pPr>
    </w:p>
    <w:p w14:paraId="58ABEB74" w14:textId="369E4C7B" w:rsidR="00EB3A61" w:rsidRDefault="00EB3A61" w:rsidP="0038733F">
      <w:pPr>
        <w:pStyle w:val="BodyText"/>
      </w:pPr>
    </w:p>
    <w:p w14:paraId="71E8C8F2" w14:textId="2248A58D" w:rsidR="00EB3A61" w:rsidRDefault="00EB3A61" w:rsidP="0038733F">
      <w:pPr>
        <w:pStyle w:val="BodyText"/>
      </w:pPr>
    </w:p>
    <w:p w14:paraId="5803CA7E" w14:textId="25AD037B" w:rsidR="00EB3A61" w:rsidRDefault="00EB3A61" w:rsidP="0038733F">
      <w:pPr>
        <w:pStyle w:val="BodyText"/>
      </w:pPr>
    </w:p>
    <w:p w14:paraId="796B3F00" w14:textId="61664733" w:rsidR="00EB3A61" w:rsidRDefault="00EB3A61" w:rsidP="0038733F">
      <w:pPr>
        <w:pStyle w:val="BodyText"/>
      </w:pPr>
    </w:p>
    <w:p w14:paraId="2BC66684" w14:textId="5107E1DA" w:rsidR="00EB3A61" w:rsidRDefault="00EB3A61" w:rsidP="0038733F">
      <w:pPr>
        <w:pStyle w:val="BodyText"/>
      </w:pPr>
    </w:p>
    <w:p w14:paraId="36704808" w14:textId="5ED86A37" w:rsidR="00EB3A61" w:rsidRDefault="00EB3A61" w:rsidP="0038733F">
      <w:pPr>
        <w:pStyle w:val="BodyText"/>
      </w:pPr>
    </w:p>
    <w:p w14:paraId="2F6F9BD8" w14:textId="6D97F4DA" w:rsidR="00EB3A61" w:rsidRDefault="00EB3A61" w:rsidP="0038733F">
      <w:pPr>
        <w:pStyle w:val="BodyText"/>
      </w:pPr>
    </w:p>
    <w:p w14:paraId="79993159" w14:textId="5BBF97C7" w:rsidR="00EB3A61" w:rsidRDefault="00EB3A61" w:rsidP="0038733F">
      <w:pPr>
        <w:pStyle w:val="BodyText"/>
      </w:pPr>
    </w:p>
    <w:p w14:paraId="602E8C14" w14:textId="77777777" w:rsidR="00EB3A61" w:rsidRDefault="00EB3A61" w:rsidP="0038733F">
      <w:pPr>
        <w:pStyle w:val="BodyText"/>
      </w:pPr>
    </w:p>
    <w:p w14:paraId="1A50B6CE" w14:textId="77777777" w:rsidR="0038733F" w:rsidRPr="0038733F" w:rsidRDefault="0038733F" w:rsidP="0038733F">
      <w:pPr>
        <w:pStyle w:val="BodyText"/>
      </w:pPr>
    </w:p>
    <w:p w14:paraId="08AE3403" w14:textId="77777777" w:rsidR="00916ACA" w:rsidRDefault="00916ACA" w:rsidP="00216924">
      <w:pPr>
        <w:rPr>
          <w:rFonts w:ascii="Arial" w:hAnsi="Arial" w:cs="Arial"/>
          <w:b/>
          <w:bCs/>
          <w:color w:val="003366"/>
        </w:rPr>
      </w:pPr>
    </w:p>
    <w:p w14:paraId="3801B0CB" w14:textId="1129B734" w:rsidR="007F0221" w:rsidRPr="00EC5068" w:rsidRDefault="00216924" w:rsidP="00216924">
      <w:r w:rsidRPr="00216924">
        <w:rPr>
          <w:rFonts w:ascii="Arial" w:hAnsi="Arial" w:cs="Arial"/>
          <w:b/>
          <w:bCs/>
          <w:color w:val="003366"/>
        </w:rPr>
        <w:lastRenderedPageBreak/>
        <w:t>Objective 1.</w:t>
      </w:r>
      <w:r>
        <w:rPr>
          <w:rFonts w:asciiTheme="minorHAnsi" w:hAnsiTheme="minorHAnsi" w:cstheme="minorHAnsi"/>
        </w:rPr>
        <w:t xml:space="preserve"> </w:t>
      </w:r>
      <w:r w:rsidR="00EB3A61" w:rsidRPr="00EB3A61">
        <w:rPr>
          <w:rFonts w:asciiTheme="minorHAnsi" w:hAnsiTheme="minorHAnsi" w:cstheme="minorHAnsi"/>
          <w:b/>
        </w:rPr>
        <w:t>R15-RRCC will provide up-to-date and factual situational awareness information to healthcare partners in response to the COVID19 Pandemic.</w:t>
      </w:r>
    </w:p>
    <w:p w14:paraId="3801B0CE" w14:textId="77777777" w:rsidR="00576DCA" w:rsidRPr="00EC5068" w:rsidRDefault="00576DCA" w:rsidP="00576DCA">
      <w:pPr>
        <w:pStyle w:val="Heading3"/>
      </w:pPr>
      <w:r w:rsidRPr="00EC5068">
        <w:t>Strengths</w:t>
      </w:r>
    </w:p>
    <w:p w14:paraId="3801B0D0" w14:textId="556BEAF4" w:rsidR="00576DCA" w:rsidRPr="00B51EF7" w:rsidRDefault="00576DCA" w:rsidP="007F0221">
      <w:pPr>
        <w:pStyle w:val="BodyText"/>
      </w:pPr>
      <w:r w:rsidRPr="00EC5068">
        <w:rPr>
          <w:rStyle w:val="Heading4Char"/>
        </w:rPr>
        <w:t>Strength 1:</w:t>
      </w:r>
      <w:r w:rsidR="00DE7CA3" w:rsidRPr="00EC5068">
        <w:rPr>
          <w:color w:val="003366"/>
        </w:rPr>
        <w:t xml:space="preserve"> </w:t>
      </w:r>
      <w:r w:rsidR="00377B03" w:rsidRPr="005B6E90">
        <w:t>Weekly RRCC phone calls.</w:t>
      </w:r>
    </w:p>
    <w:p w14:paraId="3801B0D1" w14:textId="10D3746F" w:rsidR="00576DCA" w:rsidRPr="00B51EF7" w:rsidRDefault="00576DCA" w:rsidP="007F0221">
      <w:pPr>
        <w:pStyle w:val="BodyText"/>
      </w:pPr>
      <w:r w:rsidRPr="00EC5068">
        <w:rPr>
          <w:rStyle w:val="Heading4Char"/>
        </w:rPr>
        <w:t>Strength 2:</w:t>
      </w:r>
      <w:r w:rsidR="00DE7CA3" w:rsidRPr="00EC5068">
        <w:rPr>
          <w:color w:val="003366"/>
        </w:rPr>
        <w:t xml:space="preserve"> </w:t>
      </w:r>
      <w:r w:rsidR="00377B03" w:rsidRPr="005B6E90">
        <w:t>Regional Situation Reports.</w:t>
      </w:r>
    </w:p>
    <w:p w14:paraId="3801B0D2" w14:textId="549674F9" w:rsidR="00576DCA" w:rsidRPr="00B51EF7" w:rsidRDefault="00576DCA" w:rsidP="007F0221">
      <w:pPr>
        <w:pStyle w:val="BodyText"/>
      </w:pPr>
      <w:r w:rsidRPr="00EC5068">
        <w:rPr>
          <w:rStyle w:val="Heading4Char"/>
        </w:rPr>
        <w:t>Strength 3:</w:t>
      </w:r>
      <w:r w:rsidR="00DE7CA3" w:rsidRPr="00EC5068">
        <w:rPr>
          <w:color w:val="003366"/>
        </w:rPr>
        <w:t xml:space="preserve"> </w:t>
      </w:r>
      <w:r w:rsidR="00377B03" w:rsidRPr="005B6E90">
        <w:t>Governor’s support and response.</w:t>
      </w:r>
    </w:p>
    <w:p w14:paraId="3801B0D3" w14:textId="77777777" w:rsidR="00576DCA" w:rsidRPr="00EC5068" w:rsidRDefault="00576DCA" w:rsidP="00707C30">
      <w:pPr>
        <w:pStyle w:val="Heading3"/>
      </w:pPr>
      <w:r w:rsidRPr="00EC5068">
        <w:t>Areas for Improvement</w:t>
      </w:r>
    </w:p>
    <w:p w14:paraId="3801B0D4" w14:textId="26B7E8B3" w:rsidR="00576DCA" w:rsidRPr="00B51EF7" w:rsidRDefault="00576DCA" w:rsidP="007F0221">
      <w:pPr>
        <w:pStyle w:val="BodyText"/>
      </w:pPr>
      <w:r w:rsidRPr="00B51EF7">
        <w:t>The following areas require improvement:</w:t>
      </w:r>
    </w:p>
    <w:p w14:paraId="3801B0D5" w14:textId="3D4F899D" w:rsidR="00576DCA" w:rsidRPr="00B51EF7" w:rsidRDefault="00576DCA" w:rsidP="007F0221">
      <w:pPr>
        <w:pStyle w:val="BodyText"/>
      </w:pPr>
      <w:r w:rsidRPr="00EC5068">
        <w:rPr>
          <w:rStyle w:val="Heading4Char"/>
        </w:rPr>
        <w:t>Area for Improvement 1:</w:t>
      </w:r>
      <w:r w:rsidR="00DE7CA3" w:rsidRPr="00EC5068">
        <w:rPr>
          <w:color w:val="003366"/>
        </w:rPr>
        <w:t xml:space="preserve"> </w:t>
      </w:r>
      <w:r w:rsidR="00CB35BC" w:rsidRPr="005B6E90">
        <w:t>During the initial response to the pandemic information from the state would often come late to partners responding to COVID positive pa</w:t>
      </w:r>
      <w:r w:rsidR="00B40F03">
        <w:t xml:space="preserve">tients.  Information was not </w:t>
      </w:r>
      <w:r w:rsidR="00CB35BC" w:rsidRPr="005B6E90">
        <w:t xml:space="preserve">disseminated in a timely manner from the state into the region.  </w:t>
      </w:r>
    </w:p>
    <w:p w14:paraId="3801B0D6" w14:textId="5C8B908A" w:rsidR="00576DCA" w:rsidRDefault="00576DCA" w:rsidP="007F0221">
      <w:pPr>
        <w:pStyle w:val="BodyText"/>
      </w:pPr>
      <w:r w:rsidRPr="00EC5068">
        <w:rPr>
          <w:rStyle w:val="Heading4Char"/>
        </w:rPr>
        <w:t>Reference:</w:t>
      </w:r>
      <w:r w:rsidR="00DE7CA3" w:rsidRPr="00EC5068">
        <w:rPr>
          <w:color w:val="003366"/>
        </w:rPr>
        <w:t xml:space="preserve"> </w:t>
      </w:r>
      <w:r w:rsidR="00C32C85" w:rsidRPr="00C32C85">
        <w:t>KDPH State Health Operation Center Support Plan, Bluegrass Healthcare Coalition Emergency Operations Plan.</w:t>
      </w:r>
    </w:p>
    <w:p w14:paraId="043016ED" w14:textId="7F839E25" w:rsidR="00C32C85" w:rsidRPr="00C32C85" w:rsidRDefault="00F40100" w:rsidP="00C32C85">
      <w:pPr>
        <w:pStyle w:val="BodyText"/>
        <w:rPr>
          <w:b/>
          <w:color w:val="1F497D" w:themeColor="text2"/>
        </w:rPr>
      </w:pPr>
      <w:r w:rsidRPr="00C32C85">
        <w:rPr>
          <w:b/>
          <w:color w:val="1F497D" w:themeColor="text2"/>
        </w:rPr>
        <w:t>Analysis</w:t>
      </w:r>
      <w:r w:rsidR="00C32C85" w:rsidRPr="00C32C85">
        <w:rPr>
          <w:b/>
          <w:color w:val="1F497D" w:themeColor="text2"/>
        </w:rPr>
        <w:t xml:space="preserve">: </w:t>
      </w:r>
      <w:r w:rsidR="00896C3D">
        <w:t xml:space="preserve">SHOC Support Plan - </w:t>
      </w:r>
      <w:r w:rsidR="00C32C85" w:rsidRPr="00C32C85">
        <w:rPr>
          <w:i/>
        </w:rPr>
        <w:t>Assumptions page 8-2-2:</w:t>
      </w:r>
      <w:r w:rsidR="00C32C85">
        <w:t xml:space="preserve"> </w:t>
      </w:r>
      <w:r w:rsidR="00C32C85" w:rsidRPr="0086638C">
        <w:t>Situational awareness and dissemination of public information will be maintained through defined information sharing processes and the use of communication and information technology (IT) systems in coordination with local, state, and federal agencies.</w:t>
      </w:r>
    </w:p>
    <w:p w14:paraId="70C6770B" w14:textId="77777777" w:rsidR="00170349" w:rsidRPr="007138B7" w:rsidRDefault="00170349" w:rsidP="00170349">
      <w:pPr>
        <w:spacing w:after="160" w:line="259" w:lineRule="auto"/>
        <w:contextualSpacing/>
        <w:jc w:val="both"/>
        <w:rPr>
          <w:rFonts w:cstheme="minorHAnsi"/>
          <w:color w:val="000000" w:themeColor="text1"/>
        </w:rPr>
      </w:pPr>
      <w:r>
        <w:rPr>
          <w:rFonts w:cstheme="minorHAnsi"/>
          <w:color w:val="000000" w:themeColor="text1"/>
        </w:rPr>
        <w:t xml:space="preserve">BGHCC EOP – </w:t>
      </w:r>
      <w:r>
        <w:rPr>
          <w:rFonts w:cstheme="minorHAnsi"/>
          <w:i/>
          <w:color w:val="000000" w:themeColor="text1"/>
        </w:rPr>
        <w:t>Assumptions page 1-3-7</w:t>
      </w:r>
      <w:r>
        <w:rPr>
          <w:rFonts w:cstheme="minorHAnsi"/>
          <w:color w:val="000000" w:themeColor="text1"/>
        </w:rPr>
        <w:t xml:space="preserve">- </w:t>
      </w:r>
      <w:r w:rsidRPr="007138B7">
        <w:rPr>
          <w:rFonts w:cstheme="minorHAnsi"/>
          <w:color w:val="000000" w:themeColor="text1"/>
        </w:rPr>
        <w:t>BGHCC partners will communicate their needs for coalition resources through the BGHCC Readiness and Response Coordinator (RRC).</w:t>
      </w:r>
    </w:p>
    <w:p w14:paraId="7134E0A9" w14:textId="77777777" w:rsidR="00C32C85" w:rsidRDefault="00C32C85" w:rsidP="007F0221">
      <w:pPr>
        <w:pStyle w:val="BodyText"/>
        <w:rPr>
          <w:color w:val="003366"/>
        </w:rPr>
      </w:pPr>
    </w:p>
    <w:p w14:paraId="44BF90B9" w14:textId="2B5280FC" w:rsidR="00CB35BC" w:rsidRPr="00B51EF7" w:rsidRDefault="00CB35BC" w:rsidP="00CB35BC">
      <w:pPr>
        <w:pStyle w:val="BodyText"/>
      </w:pPr>
      <w:r>
        <w:rPr>
          <w:rStyle w:val="Heading4Char"/>
        </w:rPr>
        <w:t>Area for Improvement 2</w:t>
      </w:r>
      <w:r w:rsidRPr="00EC5068">
        <w:rPr>
          <w:rStyle w:val="Heading4Char"/>
        </w:rPr>
        <w:t>:</w:t>
      </w:r>
      <w:r w:rsidRPr="00EC5068">
        <w:rPr>
          <w:color w:val="003366"/>
        </w:rPr>
        <w:t xml:space="preserve"> </w:t>
      </w:r>
      <w:r w:rsidRPr="005B6E90">
        <w:t xml:space="preserve">Local Health Departments were trying to determine where </w:t>
      </w:r>
      <w:r w:rsidR="00A64C1E">
        <w:t xml:space="preserve">to place </w:t>
      </w:r>
      <w:r w:rsidRPr="005B6E90">
        <w:t>individuals</w:t>
      </w:r>
      <w:r w:rsidR="00A64C1E">
        <w:t xml:space="preserve"> </w:t>
      </w:r>
      <w:r w:rsidRPr="005B6E90">
        <w:t>in congregant care areas.  This was an initia</w:t>
      </w:r>
      <w:r w:rsidR="00B40F03">
        <w:t xml:space="preserve">l issue due to individuals not </w:t>
      </w:r>
      <w:r w:rsidRPr="005B6E90">
        <w:t xml:space="preserve">able to isolate from other family members in their own home.  </w:t>
      </w:r>
    </w:p>
    <w:p w14:paraId="041FD0C4" w14:textId="61480194" w:rsidR="00CB35BC" w:rsidRDefault="00CB35BC" w:rsidP="00CB35BC">
      <w:pPr>
        <w:pStyle w:val="BodyText"/>
      </w:pPr>
      <w:r w:rsidRPr="00EC5068">
        <w:rPr>
          <w:rStyle w:val="Heading4Char"/>
        </w:rPr>
        <w:t>Reference:</w:t>
      </w:r>
      <w:r w:rsidRPr="00EC5068">
        <w:rPr>
          <w:color w:val="003366"/>
        </w:rPr>
        <w:t xml:space="preserve"> </w:t>
      </w:r>
      <w:r w:rsidR="00C32C85" w:rsidRPr="00C32C85">
        <w:t>KDPH State Health Operation Center Support Plan, Bluegrass Healthcare Coalition Emergency Operations Plan.</w:t>
      </w:r>
    </w:p>
    <w:p w14:paraId="2271717F" w14:textId="52E464B7" w:rsidR="00C32C85" w:rsidRPr="00C32C85" w:rsidRDefault="00F40100" w:rsidP="00CB35BC">
      <w:pPr>
        <w:pStyle w:val="BodyText"/>
        <w:rPr>
          <w:b/>
          <w:color w:val="1F497D" w:themeColor="text2"/>
        </w:rPr>
      </w:pPr>
      <w:r w:rsidRPr="00C32C85">
        <w:rPr>
          <w:b/>
          <w:color w:val="1F497D" w:themeColor="text2"/>
        </w:rPr>
        <w:t>Analysis</w:t>
      </w:r>
      <w:r w:rsidR="00C32C85" w:rsidRPr="00C32C85">
        <w:rPr>
          <w:b/>
          <w:color w:val="1F497D" w:themeColor="text2"/>
        </w:rPr>
        <w:t xml:space="preserve">: </w:t>
      </w:r>
      <w:r w:rsidR="00896C3D">
        <w:t xml:space="preserve">SHOC Support Plan - </w:t>
      </w:r>
      <w:r w:rsidR="00896C3D" w:rsidRPr="00C32C85">
        <w:rPr>
          <w:i/>
        </w:rPr>
        <w:t>Assumptions page 8-2-2:</w:t>
      </w:r>
      <w:r w:rsidR="00896C3D">
        <w:t xml:space="preserve"> </w:t>
      </w:r>
      <w:r w:rsidR="00896C3D" w:rsidRPr="00C32C85">
        <w:rPr>
          <w:sz w:val="22"/>
        </w:rPr>
        <w:t xml:space="preserve">Additional resources from local, state, interstate, and federal agencies will be needed to supplement and assist impacted jurisdictions to ensure continuity of medical and public health services.  </w:t>
      </w:r>
      <w:r w:rsidR="00896C3D">
        <w:rPr>
          <w:sz w:val="22"/>
        </w:rPr>
        <w:t>ESF#8 Resource Request Flowchart.</w:t>
      </w:r>
    </w:p>
    <w:p w14:paraId="2EDFF81E" w14:textId="56E92AE9" w:rsidR="00170349" w:rsidRDefault="00170349" w:rsidP="00170349">
      <w:pPr>
        <w:spacing w:after="160" w:line="259" w:lineRule="auto"/>
        <w:contextualSpacing/>
        <w:jc w:val="both"/>
        <w:rPr>
          <w:rFonts w:cstheme="minorHAnsi"/>
          <w:color w:val="000000" w:themeColor="text1"/>
        </w:rPr>
      </w:pPr>
      <w:r>
        <w:rPr>
          <w:rFonts w:cstheme="minorHAnsi"/>
          <w:color w:val="000000" w:themeColor="text1"/>
        </w:rPr>
        <w:t xml:space="preserve">BGHCC EOP – </w:t>
      </w:r>
      <w:r>
        <w:rPr>
          <w:rFonts w:cstheme="minorHAnsi"/>
          <w:i/>
          <w:color w:val="000000" w:themeColor="text1"/>
        </w:rPr>
        <w:t>Assumptions page 1-3-7</w:t>
      </w:r>
      <w:r>
        <w:rPr>
          <w:rFonts w:cstheme="minorHAnsi"/>
          <w:color w:val="000000" w:themeColor="text1"/>
        </w:rPr>
        <w:t xml:space="preserve">- </w:t>
      </w:r>
      <w:r w:rsidRPr="007138B7">
        <w:rPr>
          <w:rFonts w:cstheme="minorHAnsi"/>
          <w:color w:val="000000" w:themeColor="text1"/>
        </w:rPr>
        <w:t>BGHCC partners will communicate their needs for coalition resources through the BGHCC Readiness and Response Coordinator (RRC).</w:t>
      </w:r>
    </w:p>
    <w:p w14:paraId="4A1FFF84" w14:textId="42E6802F" w:rsidR="00B40F03" w:rsidRDefault="00B40F03" w:rsidP="00170349">
      <w:pPr>
        <w:spacing w:after="160" w:line="259" w:lineRule="auto"/>
        <w:contextualSpacing/>
        <w:jc w:val="both"/>
        <w:rPr>
          <w:rFonts w:cstheme="minorHAnsi"/>
          <w:color w:val="000000" w:themeColor="text1"/>
        </w:rPr>
      </w:pPr>
    </w:p>
    <w:p w14:paraId="1FD07301" w14:textId="77777777" w:rsidR="00B40F03" w:rsidRPr="007138B7" w:rsidRDefault="00B40F03" w:rsidP="00170349">
      <w:pPr>
        <w:spacing w:after="160" w:line="259" w:lineRule="auto"/>
        <w:contextualSpacing/>
        <w:jc w:val="both"/>
        <w:rPr>
          <w:rFonts w:cstheme="minorHAnsi"/>
          <w:color w:val="000000" w:themeColor="text1"/>
        </w:rPr>
      </w:pPr>
    </w:p>
    <w:p w14:paraId="046820F6" w14:textId="77777777" w:rsidR="00CB35BC" w:rsidRPr="00B51EF7" w:rsidRDefault="00CB35BC" w:rsidP="007F0221">
      <w:pPr>
        <w:pStyle w:val="BodyText"/>
      </w:pPr>
    </w:p>
    <w:p w14:paraId="6D7001B4" w14:textId="77777777" w:rsidR="00E801BF" w:rsidRDefault="00E801BF" w:rsidP="00216924">
      <w:pPr>
        <w:rPr>
          <w:rFonts w:ascii="Arial" w:hAnsi="Arial" w:cs="Arial"/>
          <w:b/>
          <w:bCs/>
          <w:color w:val="003366"/>
        </w:rPr>
      </w:pPr>
    </w:p>
    <w:p w14:paraId="7C95FB49" w14:textId="77F3D604" w:rsidR="00216924" w:rsidRPr="00CA13FC" w:rsidRDefault="00216924" w:rsidP="00216924">
      <w:pPr>
        <w:rPr>
          <w:rFonts w:asciiTheme="minorHAnsi" w:hAnsiTheme="minorHAnsi" w:cstheme="minorHAnsi"/>
        </w:rPr>
      </w:pPr>
      <w:r w:rsidRPr="00216924">
        <w:rPr>
          <w:rFonts w:ascii="Arial" w:hAnsi="Arial" w:cs="Arial"/>
          <w:b/>
          <w:bCs/>
          <w:color w:val="003366"/>
        </w:rPr>
        <w:lastRenderedPageBreak/>
        <w:t>Objective 2</w:t>
      </w:r>
      <w:r>
        <w:t xml:space="preserve">. </w:t>
      </w:r>
      <w:r w:rsidR="00EB3A61" w:rsidRPr="00EB3A61">
        <w:rPr>
          <w:rFonts w:asciiTheme="minorHAnsi" w:hAnsiTheme="minorHAnsi" w:cstheme="minorHAnsi"/>
          <w:b/>
        </w:rPr>
        <w:t>R15-RRCC will act as a liaison between regional healthcare partners and state public health response agencies involved with the COVID19 Pandemic.</w:t>
      </w:r>
    </w:p>
    <w:p w14:paraId="3801B0DC" w14:textId="77777777" w:rsidR="00707C30" w:rsidRPr="00EC5068" w:rsidRDefault="00707C30" w:rsidP="00707C30">
      <w:pPr>
        <w:pStyle w:val="Heading3"/>
      </w:pPr>
      <w:r w:rsidRPr="00EC5068">
        <w:t>Strengths</w:t>
      </w:r>
    </w:p>
    <w:p w14:paraId="3801B0DE" w14:textId="5D7AB146" w:rsidR="00707C30" w:rsidRPr="00B51EF7" w:rsidRDefault="00707C30" w:rsidP="00707C30">
      <w:pPr>
        <w:pStyle w:val="BodyText"/>
      </w:pPr>
      <w:r w:rsidRPr="00EC5068">
        <w:rPr>
          <w:rStyle w:val="Heading4Char"/>
        </w:rPr>
        <w:t>Strength 1:</w:t>
      </w:r>
      <w:r w:rsidR="00DE7CA3" w:rsidRPr="00EC5068">
        <w:rPr>
          <w:color w:val="003366"/>
        </w:rPr>
        <w:t xml:space="preserve"> </w:t>
      </w:r>
      <w:r w:rsidR="00377B03" w:rsidRPr="005B6E90">
        <w:t>Regional Resource Response Center.</w:t>
      </w:r>
    </w:p>
    <w:p w14:paraId="3801B0DF" w14:textId="71DE01D1" w:rsidR="00707C30" w:rsidRPr="00B51EF7" w:rsidRDefault="00707C30" w:rsidP="00707C30">
      <w:pPr>
        <w:pStyle w:val="BodyText"/>
      </w:pPr>
      <w:r w:rsidRPr="00EC5068">
        <w:rPr>
          <w:rStyle w:val="Heading4Char"/>
        </w:rPr>
        <w:t>Strength 2:</w:t>
      </w:r>
      <w:r w:rsidR="00DE7CA3" w:rsidRPr="00EC5068">
        <w:rPr>
          <w:color w:val="003366"/>
        </w:rPr>
        <w:t xml:space="preserve"> </w:t>
      </w:r>
      <w:r w:rsidR="00377B03" w:rsidRPr="005B6E90">
        <w:t>State Department of Public Health support.</w:t>
      </w:r>
    </w:p>
    <w:p w14:paraId="3801B0E0" w14:textId="12F80EBF" w:rsidR="00707C30" w:rsidRDefault="00707C30" w:rsidP="00707C30">
      <w:pPr>
        <w:pStyle w:val="BodyText"/>
        <w:rPr>
          <w:color w:val="003366"/>
        </w:rPr>
      </w:pPr>
      <w:r w:rsidRPr="00EC5068">
        <w:rPr>
          <w:rStyle w:val="Heading4Char"/>
        </w:rPr>
        <w:t>Strength 3:</w:t>
      </w:r>
      <w:r w:rsidR="00377B03">
        <w:rPr>
          <w:color w:val="003366"/>
        </w:rPr>
        <w:t xml:space="preserve"> </w:t>
      </w:r>
      <w:r w:rsidR="00377B03" w:rsidRPr="005B6E90">
        <w:t>State Emergency Management response.</w:t>
      </w:r>
    </w:p>
    <w:p w14:paraId="3C454274" w14:textId="497754F4" w:rsidR="00377B03" w:rsidRPr="00B51EF7" w:rsidRDefault="00377B03" w:rsidP="00707C30">
      <w:pPr>
        <w:pStyle w:val="BodyText"/>
      </w:pPr>
      <w:r w:rsidRPr="00377B03">
        <w:rPr>
          <w:b/>
          <w:color w:val="003366"/>
        </w:rPr>
        <w:t>Strength 4:</w:t>
      </w:r>
      <w:r>
        <w:rPr>
          <w:color w:val="003366"/>
        </w:rPr>
        <w:t xml:space="preserve"> </w:t>
      </w:r>
      <w:r w:rsidRPr="005B6E90">
        <w:t>Healthcare Coalition support.</w:t>
      </w:r>
    </w:p>
    <w:p w14:paraId="3801B0E1" w14:textId="77777777" w:rsidR="00707C30" w:rsidRPr="00EC5068" w:rsidRDefault="00707C30" w:rsidP="00707C30">
      <w:pPr>
        <w:pStyle w:val="Heading3"/>
      </w:pPr>
      <w:r w:rsidRPr="00EC5068">
        <w:t>Areas for Improvement</w:t>
      </w:r>
    </w:p>
    <w:p w14:paraId="3801B0E2" w14:textId="5E505A93" w:rsidR="00707C30" w:rsidRPr="00B51EF7" w:rsidRDefault="00707C30" w:rsidP="00707C30">
      <w:pPr>
        <w:pStyle w:val="BodyText"/>
      </w:pPr>
      <w:r w:rsidRPr="00B51EF7">
        <w:t>The following areas require improvement:</w:t>
      </w:r>
    </w:p>
    <w:p w14:paraId="13B4AE87" w14:textId="1FD2AEB3" w:rsidR="00CB35BC" w:rsidRDefault="00CB35BC" w:rsidP="007C207C">
      <w:pPr>
        <w:pStyle w:val="BodyText"/>
        <w:rPr>
          <w:color w:val="003366"/>
        </w:rPr>
      </w:pPr>
      <w:r>
        <w:rPr>
          <w:rStyle w:val="Heading4Char"/>
        </w:rPr>
        <w:t>Area for Improvement 3</w:t>
      </w:r>
      <w:r w:rsidR="00707C30" w:rsidRPr="00EC5068">
        <w:rPr>
          <w:rStyle w:val="Heading4Char"/>
        </w:rPr>
        <w:t>:</w:t>
      </w:r>
      <w:r w:rsidR="00DE7CA3" w:rsidRPr="00EC5068">
        <w:rPr>
          <w:color w:val="003366"/>
        </w:rPr>
        <w:t xml:space="preserve"> </w:t>
      </w:r>
      <w:r w:rsidRPr="005B6E90">
        <w:t xml:space="preserve">Health departments needing clear funding guidance so they could properly track expenses during the pandemic.  </w:t>
      </w:r>
    </w:p>
    <w:p w14:paraId="52C64E24" w14:textId="2B45E8C2" w:rsidR="007C207C" w:rsidRDefault="00707C30" w:rsidP="007C207C">
      <w:pPr>
        <w:pStyle w:val="BodyText"/>
      </w:pPr>
      <w:r w:rsidRPr="00EC5068">
        <w:rPr>
          <w:rStyle w:val="Heading4Char"/>
        </w:rPr>
        <w:t>Reference:</w:t>
      </w:r>
      <w:r w:rsidR="00DE7CA3" w:rsidRPr="00EC5068">
        <w:rPr>
          <w:color w:val="003366"/>
        </w:rPr>
        <w:t xml:space="preserve"> </w:t>
      </w:r>
      <w:r w:rsidR="00C32C85" w:rsidRPr="00C32C85">
        <w:t>KDPH State Health Operation Center Support Plan, Bluegrass Healthcare Coalition Emergency Operations Plan.</w:t>
      </w:r>
    </w:p>
    <w:p w14:paraId="5C3B0991" w14:textId="317BA9E4" w:rsidR="00C32C85" w:rsidRDefault="00F40100" w:rsidP="00C32C85">
      <w:pPr>
        <w:pStyle w:val="BodyText"/>
      </w:pPr>
      <w:r w:rsidRPr="00C32C85">
        <w:rPr>
          <w:b/>
          <w:color w:val="1F497D" w:themeColor="text2"/>
        </w:rPr>
        <w:t>Analysis</w:t>
      </w:r>
      <w:r w:rsidR="00C32C85" w:rsidRPr="00C32C85">
        <w:rPr>
          <w:b/>
          <w:color w:val="1F497D" w:themeColor="text2"/>
        </w:rPr>
        <w:t xml:space="preserve">: </w:t>
      </w:r>
      <w:r w:rsidR="00896C3D">
        <w:t xml:space="preserve">SHOC Support Plan - </w:t>
      </w:r>
      <w:r w:rsidR="0086638C" w:rsidRPr="00C32C85">
        <w:rPr>
          <w:i/>
        </w:rPr>
        <w:t>Assumptions page 8-2-2:</w:t>
      </w:r>
      <w:r w:rsidR="0086638C">
        <w:t xml:space="preserve"> </w:t>
      </w:r>
      <w:r w:rsidR="0086638C" w:rsidRPr="0086638C">
        <w:t>Situational awareness and dissemination of public information will be maintained through defined information sharing processes and the use of communication and information technology (IT) systems in coordination with local, state, and federal agencies.</w:t>
      </w:r>
    </w:p>
    <w:p w14:paraId="64142047" w14:textId="1F2D3317" w:rsidR="00170349" w:rsidRPr="007138B7" w:rsidRDefault="00170349" w:rsidP="00170349">
      <w:pPr>
        <w:spacing w:after="160" w:line="259" w:lineRule="auto"/>
        <w:contextualSpacing/>
        <w:jc w:val="both"/>
        <w:rPr>
          <w:rFonts w:cstheme="minorHAnsi"/>
          <w:color w:val="000000" w:themeColor="text1"/>
        </w:rPr>
      </w:pPr>
      <w:r>
        <w:rPr>
          <w:rFonts w:cstheme="minorHAnsi"/>
          <w:color w:val="000000" w:themeColor="text1"/>
        </w:rPr>
        <w:t xml:space="preserve">BGHCC EOP – </w:t>
      </w:r>
      <w:r>
        <w:rPr>
          <w:rFonts w:cstheme="minorHAnsi"/>
          <w:i/>
          <w:color w:val="000000" w:themeColor="text1"/>
        </w:rPr>
        <w:t>Assumptions page 1-3-7</w:t>
      </w:r>
      <w:r>
        <w:rPr>
          <w:rFonts w:cstheme="minorHAnsi"/>
          <w:color w:val="000000" w:themeColor="text1"/>
        </w:rPr>
        <w:t xml:space="preserve">- </w:t>
      </w:r>
      <w:r w:rsidRPr="007138B7">
        <w:rPr>
          <w:rFonts w:cstheme="minorHAnsi"/>
          <w:color w:val="000000" w:themeColor="text1"/>
        </w:rPr>
        <w:t>BGHCC partners will communicate their needs for coalition resources through the BGHCC Readiness and Response Coordinator (RRC).</w:t>
      </w:r>
    </w:p>
    <w:p w14:paraId="70315522" w14:textId="77777777" w:rsidR="00170349" w:rsidRPr="00C32C85" w:rsidRDefault="00170349" w:rsidP="00C32C85">
      <w:pPr>
        <w:pStyle w:val="BodyText"/>
        <w:rPr>
          <w:b/>
          <w:color w:val="1F497D" w:themeColor="text2"/>
        </w:rPr>
      </w:pPr>
    </w:p>
    <w:p w14:paraId="33FF3464" w14:textId="50CCF3C9" w:rsidR="00C32C85" w:rsidRDefault="00C32C85" w:rsidP="007C207C">
      <w:pPr>
        <w:pStyle w:val="BodyText"/>
      </w:pPr>
    </w:p>
    <w:p w14:paraId="61B144CD" w14:textId="3888B992" w:rsidR="000F37A1" w:rsidRDefault="000F37A1" w:rsidP="007C207C">
      <w:pPr>
        <w:pStyle w:val="BodyText"/>
      </w:pPr>
    </w:p>
    <w:p w14:paraId="7043D67A" w14:textId="25669B53" w:rsidR="000F37A1" w:rsidRDefault="000F37A1" w:rsidP="007C207C">
      <w:pPr>
        <w:pStyle w:val="BodyText"/>
      </w:pPr>
    </w:p>
    <w:p w14:paraId="6C61970A" w14:textId="4BFFE480" w:rsidR="000F37A1" w:rsidRDefault="000F37A1" w:rsidP="007C207C">
      <w:pPr>
        <w:pStyle w:val="BodyText"/>
      </w:pPr>
    </w:p>
    <w:p w14:paraId="32EDEF12" w14:textId="4FF7D03E" w:rsidR="000F37A1" w:rsidRDefault="000F37A1" w:rsidP="007C207C">
      <w:pPr>
        <w:pStyle w:val="BodyText"/>
      </w:pPr>
    </w:p>
    <w:p w14:paraId="70FCB842" w14:textId="52B1A5E5" w:rsidR="000F37A1" w:rsidRDefault="000F37A1" w:rsidP="007C207C">
      <w:pPr>
        <w:pStyle w:val="BodyText"/>
      </w:pPr>
    </w:p>
    <w:p w14:paraId="043631B0" w14:textId="30D37600" w:rsidR="000F37A1" w:rsidRDefault="000F37A1" w:rsidP="007C207C">
      <w:pPr>
        <w:pStyle w:val="BodyText"/>
      </w:pPr>
    </w:p>
    <w:p w14:paraId="3B62B8D0" w14:textId="4457F224" w:rsidR="000F37A1" w:rsidRDefault="000F37A1" w:rsidP="007C207C">
      <w:pPr>
        <w:pStyle w:val="BodyText"/>
      </w:pPr>
    </w:p>
    <w:p w14:paraId="7CF12EE8" w14:textId="77777777" w:rsidR="000F37A1" w:rsidRDefault="000F37A1" w:rsidP="007C207C">
      <w:pPr>
        <w:pStyle w:val="BodyText"/>
      </w:pPr>
    </w:p>
    <w:p w14:paraId="5A92920A" w14:textId="77777777" w:rsidR="00A116E8" w:rsidRPr="00B51EF7" w:rsidRDefault="00A116E8" w:rsidP="007C207C">
      <w:pPr>
        <w:pStyle w:val="BodyText"/>
      </w:pPr>
    </w:p>
    <w:p w14:paraId="652FBC2B" w14:textId="0B8EA9D1" w:rsidR="00216924" w:rsidRPr="00EC5068" w:rsidRDefault="00216924" w:rsidP="00EB3A61">
      <w:r w:rsidRPr="00216924">
        <w:rPr>
          <w:rFonts w:ascii="Arial" w:hAnsi="Arial" w:cs="Arial"/>
          <w:b/>
          <w:bCs/>
          <w:color w:val="003366"/>
        </w:rPr>
        <w:lastRenderedPageBreak/>
        <w:t>Objective 3</w:t>
      </w:r>
      <w:r>
        <w:rPr>
          <w:rFonts w:asciiTheme="minorHAnsi" w:hAnsiTheme="minorHAnsi" w:cstheme="minorHAnsi"/>
        </w:rPr>
        <w:t xml:space="preserve">. </w:t>
      </w:r>
      <w:r w:rsidR="00EB3A61" w:rsidRPr="00EB3A61">
        <w:rPr>
          <w:rFonts w:asciiTheme="minorHAnsi" w:hAnsiTheme="minorHAnsi" w:cstheme="minorHAnsi"/>
          <w:b/>
        </w:rPr>
        <w:t>R15-RRCC will assist in supplying healthcare with needed assets and materials in response to the COVID19 Pandemic.</w:t>
      </w:r>
    </w:p>
    <w:p w14:paraId="7352AD1D" w14:textId="4CF07DBB" w:rsidR="00216924" w:rsidRPr="00B51EF7" w:rsidRDefault="00216924" w:rsidP="00216924">
      <w:pPr>
        <w:pStyle w:val="BodyText"/>
      </w:pPr>
      <w:r w:rsidRPr="00EC5068">
        <w:rPr>
          <w:rStyle w:val="Heading4Char"/>
        </w:rPr>
        <w:t>Strength 1:</w:t>
      </w:r>
      <w:r w:rsidRPr="00EC5068">
        <w:rPr>
          <w:color w:val="003366"/>
        </w:rPr>
        <w:t xml:space="preserve"> </w:t>
      </w:r>
      <w:r w:rsidR="00377B03" w:rsidRPr="005B6E90">
        <w:t>PPE request process.</w:t>
      </w:r>
    </w:p>
    <w:p w14:paraId="45C8162A" w14:textId="575CEEB6" w:rsidR="00216924" w:rsidRPr="00B51EF7" w:rsidRDefault="00216924" w:rsidP="00216924">
      <w:pPr>
        <w:pStyle w:val="BodyText"/>
      </w:pPr>
      <w:r w:rsidRPr="00EC5068">
        <w:rPr>
          <w:rStyle w:val="Heading4Char"/>
        </w:rPr>
        <w:t>Strength 2:</w:t>
      </w:r>
      <w:r w:rsidRPr="00EC5068">
        <w:rPr>
          <w:color w:val="003366"/>
        </w:rPr>
        <w:t xml:space="preserve"> </w:t>
      </w:r>
      <w:r w:rsidR="00377B03" w:rsidRPr="005B6E90">
        <w:t>Local Public Health support.</w:t>
      </w:r>
    </w:p>
    <w:p w14:paraId="28072100" w14:textId="43878AF8" w:rsidR="00216924" w:rsidRDefault="00216924" w:rsidP="00216924">
      <w:pPr>
        <w:pStyle w:val="BodyText"/>
      </w:pPr>
      <w:r w:rsidRPr="00EC5068">
        <w:rPr>
          <w:rStyle w:val="Heading4Char"/>
        </w:rPr>
        <w:t>Strength 3:</w:t>
      </w:r>
      <w:r w:rsidR="00377B03">
        <w:t xml:space="preserve"> </w:t>
      </w:r>
      <w:r w:rsidR="00377B03" w:rsidRPr="005B6E90">
        <w:t>Regional Distribution Warehouse.</w:t>
      </w:r>
    </w:p>
    <w:p w14:paraId="12786E80" w14:textId="1395EA9E" w:rsidR="00377B03" w:rsidRPr="00B51EF7" w:rsidRDefault="00377B03" w:rsidP="00216924">
      <w:pPr>
        <w:pStyle w:val="BodyText"/>
      </w:pPr>
      <w:r w:rsidRPr="00377B03">
        <w:rPr>
          <w:b/>
          <w:color w:val="1F497D" w:themeColor="text2"/>
        </w:rPr>
        <w:t>Strength 4:</w:t>
      </w:r>
      <w:r w:rsidRPr="00377B03">
        <w:rPr>
          <w:color w:val="1F497D" w:themeColor="text2"/>
        </w:rPr>
        <w:t xml:space="preserve"> </w:t>
      </w:r>
      <w:r w:rsidRPr="005B6E90">
        <w:t>State Warehouse PPE supplies.</w:t>
      </w:r>
    </w:p>
    <w:p w14:paraId="3489CB60" w14:textId="77777777" w:rsidR="00216924" w:rsidRPr="00EC5068" w:rsidRDefault="00216924" w:rsidP="00216924">
      <w:pPr>
        <w:pStyle w:val="Heading3"/>
      </w:pPr>
      <w:r w:rsidRPr="00EC5068">
        <w:t>Areas for Improvement</w:t>
      </w:r>
    </w:p>
    <w:p w14:paraId="254BFB91" w14:textId="77777777" w:rsidR="00216924" w:rsidRPr="00B51EF7" w:rsidRDefault="00216924" w:rsidP="00216924">
      <w:pPr>
        <w:pStyle w:val="BodyText"/>
      </w:pPr>
      <w:r w:rsidRPr="00B51EF7">
        <w:t>The following areas require improvement:</w:t>
      </w:r>
    </w:p>
    <w:p w14:paraId="6EFEAD69" w14:textId="06791169" w:rsidR="00216924" w:rsidRPr="00B51EF7" w:rsidRDefault="00CB35BC" w:rsidP="00216924">
      <w:pPr>
        <w:pStyle w:val="BodyText"/>
      </w:pPr>
      <w:r>
        <w:rPr>
          <w:rStyle w:val="Heading4Char"/>
        </w:rPr>
        <w:t>Area for Improvement 4</w:t>
      </w:r>
      <w:r w:rsidR="00216924" w:rsidRPr="00EC5068">
        <w:rPr>
          <w:rStyle w:val="Heading4Char"/>
        </w:rPr>
        <w:t>:</w:t>
      </w:r>
      <w:r w:rsidR="00216924" w:rsidRPr="00EC5068">
        <w:rPr>
          <w:color w:val="003366"/>
        </w:rPr>
        <w:t xml:space="preserve"> </w:t>
      </w:r>
      <w:r w:rsidRPr="005B6E90">
        <w:t xml:space="preserve">Healthcare agencies began to encounter a lack of PPE supplies and testing products.  Supply chains were at their limits and while some larger healthcare agencies were able to </w:t>
      </w:r>
      <w:r w:rsidR="005B6E90" w:rsidRPr="005B6E90">
        <w:t>have more buy</w:t>
      </w:r>
      <w:r w:rsidR="00120026">
        <w:t>ing power than smaller healthcare partners.</w:t>
      </w:r>
      <w:r w:rsidR="005B6E90" w:rsidRPr="005B6E90">
        <w:t xml:space="preserve"> </w:t>
      </w:r>
    </w:p>
    <w:p w14:paraId="3B4F76C7" w14:textId="2C19CE0F" w:rsidR="00216924" w:rsidRDefault="00216924" w:rsidP="00216924">
      <w:pPr>
        <w:pStyle w:val="BodyText"/>
      </w:pPr>
      <w:r w:rsidRPr="00EC5068">
        <w:rPr>
          <w:rStyle w:val="Heading4Char"/>
        </w:rPr>
        <w:t>Reference:</w:t>
      </w:r>
      <w:r w:rsidRPr="00EC5068">
        <w:rPr>
          <w:color w:val="003366"/>
        </w:rPr>
        <w:t xml:space="preserve"> </w:t>
      </w:r>
      <w:r w:rsidR="00C32C85" w:rsidRPr="00C32C85">
        <w:t>KDPH State Health Operation Center Support Plan, Bluegrass Healthcare Coalition Emergency Operations Plan.</w:t>
      </w:r>
    </w:p>
    <w:p w14:paraId="71CD7AD8" w14:textId="41A0ADB1" w:rsidR="00C32C85" w:rsidRPr="00120026" w:rsidRDefault="00F40100" w:rsidP="00C32C85">
      <w:pPr>
        <w:jc w:val="both"/>
      </w:pPr>
      <w:r w:rsidRPr="00C32C85">
        <w:rPr>
          <w:b/>
          <w:color w:val="1F497D" w:themeColor="text2"/>
        </w:rPr>
        <w:t>Analysis</w:t>
      </w:r>
      <w:r w:rsidR="00C32C85" w:rsidRPr="00C32C85">
        <w:rPr>
          <w:b/>
          <w:color w:val="1F497D" w:themeColor="text2"/>
        </w:rPr>
        <w:t xml:space="preserve">: </w:t>
      </w:r>
      <w:r w:rsidR="00896C3D">
        <w:t xml:space="preserve">SHOC Support Plan - </w:t>
      </w:r>
      <w:r w:rsidR="00C32C85" w:rsidRPr="00C32C85">
        <w:rPr>
          <w:i/>
        </w:rPr>
        <w:t>Assumptions page 8-2-2:</w:t>
      </w:r>
      <w:r w:rsidR="00C32C85">
        <w:t xml:space="preserve"> </w:t>
      </w:r>
      <w:r w:rsidR="00C32C85" w:rsidRPr="00120026">
        <w:t xml:space="preserve">Additional resources from local, state, interstate, and federal agencies will be needed to supplement and assist impacted jurisdictions to ensure continuity of medical and public health services.  </w:t>
      </w:r>
      <w:r w:rsidR="0086638C" w:rsidRPr="00120026">
        <w:t xml:space="preserve">ESF#8 Resource Request Flowchart. </w:t>
      </w:r>
    </w:p>
    <w:p w14:paraId="503BE268" w14:textId="0DFDB4C5" w:rsidR="00F40100" w:rsidRDefault="00F40100" w:rsidP="00C32C85">
      <w:pPr>
        <w:jc w:val="both"/>
        <w:rPr>
          <w:sz w:val="22"/>
        </w:rPr>
      </w:pPr>
    </w:p>
    <w:p w14:paraId="2A7789B5" w14:textId="52ACB64E" w:rsidR="00F40100" w:rsidRPr="007138B7" w:rsidRDefault="00F40100" w:rsidP="00F40100">
      <w:pPr>
        <w:spacing w:after="160" w:line="259" w:lineRule="auto"/>
        <w:contextualSpacing/>
        <w:jc w:val="both"/>
        <w:rPr>
          <w:rFonts w:cstheme="minorHAnsi"/>
          <w:color w:val="000000" w:themeColor="text1"/>
        </w:rPr>
      </w:pPr>
      <w:r>
        <w:rPr>
          <w:rFonts w:cstheme="minorHAnsi"/>
          <w:color w:val="000000" w:themeColor="text1"/>
        </w:rPr>
        <w:t xml:space="preserve">BGHCC EOP – </w:t>
      </w:r>
      <w:r>
        <w:rPr>
          <w:rFonts w:cstheme="minorHAnsi"/>
          <w:i/>
          <w:color w:val="000000" w:themeColor="text1"/>
        </w:rPr>
        <w:t>Assumptions page 1-3-7</w:t>
      </w:r>
      <w:r>
        <w:rPr>
          <w:rFonts w:cstheme="minorHAnsi"/>
          <w:color w:val="000000" w:themeColor="text1"/>
        </w:rPr>
        <w:t xml:space="preserve">- </w:t>
      </w:r>
      <w:r w:rsidRPr="00120026">
        <w:rPr>
          <w:rFonts w:cstheme="minorHAnsi"/>
          <w:color w:val="000000" w:themeColor="text1"/>
        </w:rPr>
        <w:t>Local resources will be utilized first; however, a disaster or emergency incident may burden and/or overwhelm the health and medical infrastructure. This increase in demand may require a regional, state or federal response.</w:t>
      </w:r>
    </w:p>
    <w:p w14:paraId="590C8F7B" w14:textId="77777777" w:rsidR="00F40100" w:rsidRPr="00C32C85" w:rsidRDefault="00F40100" w:rsidP="00C32C85">
      <w:pPr>
        <w:jc w:val="both"/>
        <w:rPr>
          <w:sz w:val="22"/>
        </w:rPr>
      </w:pPr>
    </w:p>
    <w:p w14:paraId="7502DF53" w14:textId="77777777" w:rsidR="00C32C85" w:rsidRDefault="00C32C85" w:rsidP="00216924">
      <w:pPr>
        <w:pStyle w:val="BodyText"/>
        <w:rPr>
          <w:color w:val="003366"/>
        </w:rPr>
      </w:pPr>
    </w:p>
    <w:p w14:paraId="4E3AF249" w14:textId="7295C3D6" w:rsidR="005B6E90" w:rsidRPr="00B51EF7" w:rsidRDefault="005B6E90" w:rsidP="005B6E90">
      <w:pPr>
        <w:pStyle w:val="BodyText"/>
      </w:pPr>
      <w:r>
        <w:rPr>
          <w:rStyle w:val="Heading4Char"/>
        </w:rPr>
        <w:t>Area for Improvement 5</w:t>
      </w:r>
      <w:r w:rsidRPr="00EC5068">
        <w:rPr>
          <w:rStyle w:val="Heading4Char"/>
        </w:rPr>
        <w:t>:</w:t>
      </w:r>
      <w:r>
        <w:rPr>
          <w:color w:val="003366"/>
        </w:rPr>
        <w:t xml:space="preserve"> </w:t>
      </w:r>
      <w:r w:rsidRPr="005B6E90">
        <w:t xml:space="preserve">Non-emergency medical transportation was an issue.  Transport companies did not want to expose employees to COVID positive patients.  This created an issue with transporting COVID positive individuals to dialysis treatment centers.   </w:t>
      </w:r>
    </w:p>
    <w:p w14:paraId="466DCA76" w14:textId="10539A1E" w:rsidR="005B6E90" w:rsidRDefault="005B6E90" w:rsidP="005B6E90">
      <w:pPr>
        <w:pStyle w:val="BodyText"/>
      </w:pPr>
      <w:r w:rsidRPr="00EC5068">
        <w:rPr>
          <w:rStyle w:val="Heading4Char"/>
        </w:rPr>
        <w:t>Reference:</w:t>
      </w:r>
      <w:r w:rsidRPr="00EC5068">
        <w:rPr>
          <w:color w:val="003366"/>
        </w:rPr>
        <w:t xml:space="preserve"> </w:t>
      </w:r>
      <w:r w:rsidR="00C32C85" w:rsidRPr="00C32C85">
        <w:t>KDPH State Health Operation Center Support Plan, Bluegrass Healthcare Coalition Emergency Operations Plan.</w:t>
      </w:r>
    </w:p>
    <w:p w14:paraId="4EFCC242" w14:textId="4820F42A" w:rsidR="00C32C85" w:rsidRDefault="00F40100" w:rsidP="00C32C85">
      <w:pPr>
        <w:pStyle w:val="BodyText"/>
        <w:rPr>
          <w:sz w:val="22"/>
        </w:rPr>
      </w:pPr>
      <w:r w:rsidRPr="00C32C85">
        <w:rPr>
          <w:b/>
          <w:color w:val="1F497D" w:themeColor="text2"/>
        </w:rPr>
        <w:t>Analysis</w:t>
      </w:r>
      <w:r w:rsidR="00C32C85" w:rsidRPr="00C32C85">
        <w:rPr>
          <w:b/>
          <w:color w:val="1F497D" w:themeColor="text2"/>
        </w:rPr>
        <w:t xml:space="preserve">: </w:t>
      </w:r>
      <w:r w:rsidR="00896C3D">
        <w:t xml:space="preserve">SHOC Support Plan - </w:t>
      </w:r>
      <w:r w:rsidR="00C32C85" w:rsidRPr="00C32C85">
        <w:rPr>
          <w:i/>
        </w:rPr>
        <w:t>Assumptions page 8-2-2:</w:t>
      </w:r>
      <w:r w:rsidR="00C32C85">
        <w:t xml:space="preserve">  </w:t>
      </w:r>
      <w:r w:rsidR="00C32C85" w:rsidRPr="00120026">
        <w:t>KDPH will coordinate ESF 8 - Public Health and Medical Services through the SHOC to support any incident/event that may occur within the Commonwealth of Kentucky, FEMA Region IV, or neighboring states</w:t>
      </w:r>
      <w:r w:rsidR="0086638C" w:rsidRPr="00120026">
        <w:t>.</w:t>
      </w:r>
    </w:p>
    <w:p w14:paraId="724C2100" w14:textId="7F62BA37" w:rsidR="00C32C85" w:rsidRPr="00B51EF7" w:rsidRDefault="00F40100" w:rsidP="00120026">
      <w:pPr>
        <w:spacing w:after="160" w:line="259" w:lineRule="auto"/>
        <w:contextualSpacing/>
        <w:jc w:val="both"/>
      </w:pPr>
      <w:r>
        <w:rPr>
          <w:rFonts w:cstheme="minorHAnsi"/>
          <w:color w:val="000000" w:themeColor="text1"/>
        </w:rPr>
        <w:t xml:space="preserve">BGHCC EOP – </w:t>
      </w:r>
      <w:r>
        <w:rPr>
          <w:rFonts w:cstheme="minorHAnsi"/>
          <w:i/>
          <w:color w:val="000000" w:themeColor="text1"/>
        </w:rPr>
        <w:t>Assumptions page 1-3-7</w:t>
      </w:r>
      <w:r>
        <w:rPr>
          <w:rFonts w:cstheme="minorHAnsi"/>
          <w:color w:val="000000" w:themeColor="text1"/>
        </w:rPr>
        <w:t>-</w:t>
      </w:r>
      <w:r w:rsidRPr="007138B7">
        <w:rPr>
          <w:rFonts w:cstheme="minorHAnsi"/>
          <w:color w:val="000000" w:themeColor="text1"/>
        </w:rPr>
        <w:t>BGHCC partners will communicate their general Emergency Support Function #8 (ESF-8) needs to the appropriate jurisdictional Emergency Management Agency – Emergency Operations Center (EOC).</w:t>
      </w:r>
    </w:p>
    <w:p w14:paraId="6CB29D49" w14:textId="77777777" w:rsidR="005B6E90" w:rsidRPr="00B51EF7" w:rsidRDefault="005B6E90" w:rsidP="00216924">
      <w:pPr>
        <w:pStyle w:val="BodyText"/>
      </w:pPr>
    </w:p>
    <w:p w14:paraId="6FDD3015" w14:textId="6AF5E0E8" w:rsidR="00216924" w:rsidRDefault="00216924" w:rsidP="00707C30">
      <w:pPr>
        <w:pStyle w:val="BodyText"/>
      </w:pPr>
    </w:p>
    <w:p w14:paraId="75C201B7" w14:textId="0D52854B" w:rsidR="00B561EB" w:rsidRDefault="00B561EB" w:rsidP="00707C30">
      <w:pPr>
        <w:pStyle w:val="BodyText"/>
      </w:pPr>
    </w:p>
    <w:p w14:paraId="31D05042" w14:textId="77777777" w:rsidR="00B561EB" w:rsidRPr="00B51EF7" w:rsidRDefault="00B561EB" w:rsidP="00707C30">
      <w:pPr>
        <w:pStyle w:val="BodyText"/>
        <w:sectPr w:rsidR="00B561EB" w:rsidRPr="00B51EF7" w:rsidSect="00A56ED7">
          <w:footerReference w:type="default" r:id="rId16"/>
          <w:pgSz w:w="12240" w:h="15840" w:code="1"/>
          <w:pgMar w:top="1440" w:right="1440" w:bottom="1440" w:left="1440" w:header="720" w:footer="720" w:gutter="0"/>
          <w:cols w:space="720"/>
          <w:docGrid w:linePitch="360"/>
        </w:sectPr>
      </w:pPr>
    </w:p>
    <w:p w14:paraId="3801B0E7" w14:textId="5B810C19" w:rsidR="00707C30" w:rsidRPr="00EC5068" w:rsidRDefault="00707C30" w:rsidP="00605796">
      <w:pPr>
        <w:pStyle w:val="Appendix"/>
      </w:pPr>
      <w:r w:rsidRPr="00EC5068">
        <w:lastRenderedPageBreak/>
        <w:t>Improvement Plan</w:t>
      </w:r>
    </w:p>
    <w:tbl>
      <w:tblPr>
        <w:tblpPr w:leftFromText="180" w:rightFromText="180" w:vertAnchor="text" w:horzAnchor="margin" w:tblpY="877"/>
        <w:tblOverlap w:val="neve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975"/>
        <w:gridCol w:w="3060"/>
        <w:gridCol w:w="1440"/>
        <w:gridCol w:w="1800"/>
        <w:gridCol w:w="1800"/>
        <w:gridCol w:w="1260"/>
        <w:gridCol w:w="1440"/>
      </w:tblGrid>
      <w:tr w:rsidR="002C5578" w:rsidRPr="00B51EF7" w14:paraId="5E08498A" w14:textId="77777777" w:rsidTr="000C552E">
        <w:trPr>
          <w:cantSplit/>
          <w:trHeight w:val="708"/>
          <w:tblHeader/>
        </w:trPr>
        <w:tc>
          <w:tcPr>
            <w:tcW w:w="1975" w:type="dxa"/>
            <w:tcBorders>
              <w:top w:val="single" w:sz="4" w:space="0" w:color="000080"/>
              <w:left w:val="single" w:sz="4" w:space="0" w:color="FFFFFF"/>
              <w:right w:val="single" w:sz="4" w:space="0" w:color="FFFFFF"/>
            </w:tcBorders>
            <w:shd w:val="clear" w:color="auto" w:fill="003366"/>
            <w:vAlign w:val="center"/>
          </w:tcPr>
          <w:p w14:paraId="2E8CF791" w14:textId="77777777" w:rsidR="002C5578" w:rsidRDefault="002C5578" w:rsidP="0034018F">
            <w:pPr>
              <w:pStyle w:val="TableHead"/>
            </w:pPr>
            <w:r>
              <w:t>Issue/</w:t>
            </w:r>
            <w:r w:rsidRPr="00B51EF7">
              <w:t>Area for Improvement</w:t>
            </w:r>
          </w:p>
        </w:tc>
        <w:tc>
          <w:tcPr>
            <w:tcW w:w="3060" w:type="dxa"/>
            <w:tcBorders>
              <w:top w:val="single" w:sz="4" w:space="0" w:color="000080"/>
              <w:left w:val="single" w:sz="4" w:space="0" w:color="FFFFFF"/>
              <w:right w:val="single" w:sz="4" w:space="0" w:color="FFFFFF"/>
            </w:tcBorders>
            <w:shd w:val="clear" w:color="auto" w:fill="003366"/>
            <w:vAlign w:val="center"/>
          </w:tcPr>
          <w:p w14:paraId="71023B0F" w14:textId="77777777" w:rsidR="002C5578" w:rsidRDefault="002C5578" w:rsidP="0034018F">
            <w:pPr>
              <w:pStyle w:val="TableHead"/>
            </w:pPr>
            <w:r w:rsidRPr="00B51EF7">
              <w:t>Corrective Action</w:t>
            </w:r>
          </w:p>
        </w:tc>
        <w:tc>
          <w:tcPr>
            <w:tcW w:w="1440" w:type="dxa"/>
            <w:tcBorders>
              <w:top w:val="single" w:sz="4" w:space="0" w:color="000080"/>
              <w:left w:val="single" w:sz="4" w:space="0" w:color="FFFFFF"/>
              <w:right w:val="single" w:sz="4" w:space="0" w:color="FFFFFF"/>
            </w:tcBorders>
            <w:shd w:val="clear" w:color="auto" w:fill="003366"/>
            <w:vAlign w:val="center"/>
          </w:tcPr>
          <w:p w14:paraId="7DA08FED" w14:textId="0CF238C4" w:rsidR="002C5578" w:rsidRDefault="002C5578" w:rsidP="0034018F">
            <w:pPr>
              <w:pStyle w:val="TableHead"/>
            </w:pPr>
            <w:r>
              <w:t>Capability Element</w:t>
            </w:r>
            <w:r>
              <w:rPr>
                <w:rStyle w:val="FootnoteReference"/>
              </w:rPr>
              <w:footnoteReference w:id="1"/>
            </w:r>
          </w:p>
        </w:tc>
        <w:tc>
          <w:tcPr>
            <w:tcW w:w="1800" w:type="dxa"/>
            <w:tcBorders>
              <w:top w:val="single" w:sz="4" w:space="0" w:color="000080"/>
              <w:left w:val="single" w:sz="4" w:space="0" w:color="FFFFFF"/>
              <w:right w:val="single" w:sz="4" w:space="0" w:color="FFFFFF"/>
            </w:tcBorders>
            <w:shd w:val="clear" w:color="auto" w:fill="003366"/>
            <w:vAlign w:val="center"/>
          </w:tcPr>
          <w:p w14:paraId="13BE8371" w14:textId="13A8BB5F" w:rsidR="002C5578" w:rsidRDefault="002C5578" w:rsidP="004D791A">
            <w:pPr>
              <w:pStyle w:val="TableHead"/>
            </w:pPr>
            <w:r w:rsidRPr="00B51EF7">
              <w:t xml:space="preserve">Primary Responsible </w:t>
            </w:r>
            <w:r w:rsidR="004D791A">
              <w:t>Individual/Entity</w:t>
            </w:r>
          </w:p>
        </w:tc>
        <w:tc>
          <w:tcPr>
            <w:tcW w:w="1800" w:type="dxa"/>
            <w:tcBorders>
              <w:top w:val="single" w:sz="4" w:space="0" w:color="000080"/>
              <w:left w:val="single" w:sz="4" w:space="0" w:color="FFFFFF"/>
              <w:right w:val="single" w:sz="4" w:space="0" w:color="FFFFFF"/>
            </w:tcBorders>
            <w:shd w:val="clear" w:color="auto" w:fill="003366"/>
            <w:vAlign w:val="center"/>
          </w:tcPr>
          <w:p w14:paraId="0EC541C6" w14:textId="308F27C6" w:rsidR="002C5578" w:rsidRDefault="004D791A" w:rsidP="0034018F">
            <w:pPr>
              <w:pStyle w:val="TableHead"/>
            </w:pPr>
            <w:r>
              <w:t>Individual/Entity</w:t>
            </w:r>
            <w:r w:rsidR="002C5578" w:rsidRPr="00B51EF7">
              <w:t xml:space="preserve"> POC</w:t>
            </w:r>
          </w:p>
        </w:tc>
        <w:tc>
          <w:tcPr>
            <w:tcW w:w="1260" w:type="dxa"/>
            <w:tcBorders>
              <w:top w:val="single" w:sz="4" w:space="0" w:color="000080"/>
              <w:left w:val="single" w:sz="4" w:space="0" w:color="FFFFFF"/>
              <w:right w:val="single" w:sz="4" w:space="0" w:color="FFFFFF"/>
            </w:tcBorders>
            <w:shd w:val="clear" w:color="auto" w:fill="003366"/>
            <w:vAlign w:val="center"/>
          </w:tcPr>
          <w:p w14:paraId="4078F37D" w14:textId="77777777" w:rsidR="002C5578" w:rsidRDefault="002C5578" w:rsidP="0034018F">
            <w:pPr>
              <w:pStyle w:val="TableHead"/>
            </w:pPr>
            <w:r w:rsidRPr="00B51EF7">
              <w:t>Start Date</w:t>
            </w:r>
          </w:p>
        </w:tc>
        <w:tc>
          <w:tcPr>
            <w:tcW w:w="1440" w:type="dxa"/>
            <w:tcBorders>
              <w:top w:val="single" w:sz="4" w:space="0" w:color="000080"/>
              <w:left w:val="single" w:sz="4" w:space="0" w:color="FFFFFF"/>
              <w:right w:val="single" w:sz="4" w:space="0" w:color="000080"/>
            </w:tcBorders>
            <w:shd w:val="clear" w:color="auto" w:fill="003366"/>
            <w:vAlign w:val="center"/>
          </w:tcPr>
          <w:p w14:paraId="7B21E2D7" w14:textId="77777777" w:rsidR="002C5578" w:rsidRDefault="002C5578" w:rsidP="0034018F">
            <w:pPr>
              <w:pStyle w:val="TableHead"/>
            </w:pPr>
            <w:r w:rsidRPr="00B51EF7">
              <w:t>Completion Date</w:t>
            </w:r>
          </w:p>
        </w:tc>
      </w:tr>
      <w:tr w:rsidR="002C5578" w:rsidRPr="00B51EF7" w14:paraId="28214589" w14:textId="77777777" w:rsidTr="000C552E">
        <w:trPr>
          <w:cantSplit/>
          <w:trHeight w:val="165"/>
        </w:trPr>
        <w:tc>
          <w:tcPr>
            <w:tcW w:w="1975" w:type="dxa"/>
          </w:tcPr>
          <w:p w14:paraId="5CE9DA6F" w14:textId="625EC353" w:rsidR="002C5578" w:rsidRDefault="002C5578" w:rsidP="005B6E90">
            <w:pPr>
              <w:pStyle w:val="Tabletext"/>
            </w:pPr>
            <w:r w:rsidRPr="000C552E">
              <w:rPr>
                <w:sz w:val="16"/>
                <w:szCs w:val="16"/>
              </w:rPr>
              <w:t>1.</w:t>
            </w:r>
            <w:r w:rsidRPr="00B51EF7">
              <w:t xml:space="preserve"> </w:t>
            </w:r>
            <w:r w:rsidR="00B36C99">
              <w:t xml:space="preserve"> </w:t>
            </w:r>
            <w:r w:rsidR="00060EEE" w:rsidRPr="005B6E90">
              <w:t xml:space="preserve"> </w:t>
            </w:r>
            <w:r w:rsidR="00060EEE" w:rsidRPr="00060EEE">
              <w:rPr>
                <w:sz w:val="16"/>
                <w:szCs w:val="16"/>
              </w:rPr>
              <w:t>During the initial response to the pandemic information from the state would often come late to partners responding to COVID positive patients.  Information was not be disseminated in a timely manner from the state into the region.</w:t>
            </w:r>
            <w:r w:rsidR="00060EEE" w:rsidRPr="005B6E90">
              <w:t xml:space="preserve">  </w:t>
            </w:r>
          </w:p>
        </w:tc>
        <w:tc>
          <w:tcPr>
            <w:tcW w:w="3060" w:type="dxa"/>
            <w:vAlign w:val="center"/>
          </w:tcPr>
          <w:p w14:paraId="126DBB5B" w14:textId="4AB53721" w:rsidR="002C5578" w:rsidRDefault="00060EEE" w:rsidP="0034018F">
            <w:pPr>
              <w:pStyle w:val="Tabletext"/>
              <w:rPr>
                <w:highlight w:val="lightGray"/>
              </w:rPr>
            </w:pPr>
            <w:r w:rsidRPr="00060EEE">
              <w:t xml:space="preserve">Lessons learned from the current pandemic will generate realized gaps for local and state agencies.  This will enable better planning to shorten the time when information is needed at the local level.  </w:t>
            </w:r>
          </w:p>
        </w:tc>
        <w:tc>
          <w:tcPr>
            <w:tcW w:w="1440" w:type="dxa"/>
          </w:tcPr>
          <w:p w14:paraId="29875C6A" w14:textId="77777777" w:rsidR="00B36C99" w:rsidRDefault="00B36C99" w:rsidP="00B36C99">
            <w:pPr>
              <w:pStyle w:val="Tabletext"/>
              <w:jc w:val="center"/>
              <w:rPr>
                <w:b/>
                <w:bCs/>
              </w:rPr>
            </w:pPr>
          </w:p>
          <w:p w14:paraId="1D65E267" w14:textId="77777777" w:rsidR="00B36C99" w:rsidRDefault="00B36C99" w:rsidP="00B36C99">
            <w:pPr>
              <w:pStyle w:val="Tabletext"/>
              <w:jc w:val="center"/>
              <w:rPr>
                <w:b/>
                <w:bCs/>
              </w:rPr>
            </w:pPr>
          </w:p>
          <w:p w14:paraId="4A572C15" w14:textId="77777777" w:rsidR="00B36C99" w:rsidRDefault="00B36C99" w:rsidP="00B36C99">
            <w:pPr>
              <w:pStyle w:val="Tabletext"/>
              <w:jc w:val="center"/>
              <w:rPr>
                <w:b/>
                <w:bCs/>
              </w:rPr>
            </w:pPr>
          </w:p>
          <w:p w14:paraId="16B93C2C" w14:textId="092CC209" w:rsidR="002C5578" w:rsidRDefault="00B36C99" w:rsidP="00060EEE">
            <w:pPr>
              <w:pStyle w:val="Tabletext"/>
              <w:rPr>
                <w:b/>
                <w:bCs/>
                <w:color w:val="FFFFFF"/>
              </w:rPr>
            </w:pPr>
            <w:r w:rsidRPr="00B36C99">
              <w:rPr>
                <w:b/>
                <w:bCs/>
              </w:rPr>
              <w:t>Planning</w:t>
            </w:r>
            <w:r w:rsidR="00060EEE">
              <w:rPr>
                <w:b/>
                <w:bCs/>
              </w:rPr>
              <w:t xml:space="preserve"> </w:t>
            </w:r>
          </w:p>
        </w:tc>
        <w:tc>
          <w:tcPr>
            <w:tcW w:w="1800" w:type="dxa"/>
          </w:tcPr>
          <w:p w14:paraId="56341452" w14:textId="77777777" w:rsidR="002C5578" w:rsidRDefault="002C5578" w:rsidP="0034018F">
            <w:pPr>
              <w:pStyle w:val="Tabletext"/>
            </w:pPr>
          </w:p>
          <w:p w14:paraId="1C2DBF42" w14:textId="77777777" w:rsidR="000C552E" w:rsidRDefault="000C552E" w:rsidP="0034018F">
            <w:pPr>
              <w:pStyle w:val="Tabletext"/>
            </w:pPr>
          </w:p>
          <w:p w14:paraId="1D3756DC" w14:textId="77777777" w:rsidR="000C552E" w:rsidRDefault="000C552E" w:rsidP="0034018F">
            <w:pPr>
              <w:pStyle w:val="Tabletext"/>
            </w:pPr>
          </w:p>
          <w:p w14:paraId="7D04AE4B" w14:textId="77777777" w:rsidR="000C552E" w:rsidRDefault="00A56A3E" w:rsidP="0034018F">
            <w:pPr>
              <w:pStyle w:val="Tabletext"/>
            </w:pPr>
            <w:r>
              <w:t>KDPH</w:t>
            </w:r>
          </w:p>
          <w:p w14:paraId="5B461A9B" w14:textId="6560A3BC" w:rsidR="00A56A3E" w:rsidRDefault="00A56A3E" w:rsidP="0034018F">
            <w:pPr>
              <w:pStyle w:val="Tabletext"/>
            </w:pPr>
            <w:r>
              <w:t>BGHCC</w:t>
            </w:r>
          </w:p>
        </w:tc>
        <w:tc>
          <w:tcPr>
            <w:tcW w:w="1800" w:type="dxa"/>
          </w:tcPr>
          <w:p w14:paraId="7AD7EE65" w14:textId="77777777" w:rsidR="002C5578" w:rsidRDefault="002C5578" w:rsidP="0034018F">
            <w:pPr>
              <w:pStyle w:val="Tabletext"/>
            </w:pPr>
          </w:p>
          <w:p w14:paraId="583E6620" w14:textId="77777777" w:rsidR="000C552E" w:rsidRDefault="000C552E" w:rsidP="0034018F">
            <w:pPr>
              <w:pStyle w:val="Tabletext"/>
            </w:pPr>
          </w:p>
          <w:p w14:paraId="7D1C8B3B" w14:textId="77777777" w:rsidR="000C552E" w:rsidRDefault="000C552E" w:rsidP="0034018F">
            <w:pPr>
              <w:pStyle w:val="Tabletext"/>
            </w:pPr>
          </w:p>
          <w:p w14:paraId="07DFD19E" w14:textId="77777777" w:rsidR="00A56A3E" w:rsidRDefault="00A56A3E" w:rsidP="0034018F">
            <w:pPr>
              <w:pStyle w:val="Tabletext"/>
            </w:pPr>
            <w:r>
              <w:t>RRCC Team</w:t>
            </w:r>
          </w:p>
          <w:p w14:paraId="2B77961C" w14:textId="5B5D9365" w:rsidR="00A56A3E" w:rsidRDefault="00A56A3E" w:rsidP="0034018F">
            <w:pPr>
              <w:pStyle w:val="Tabletext"/>
            </w:pPr>
            <w:r>
              <w:t>Dave Carney</w:t>
            </w:r>
          </w:p>
        </w:tc>
        <w:tc>
          <w:tcPr>
            <w:tcW w:w="1260" w:type="dxa"/>
          </w:tcPr>
          <w:p w14:paraId="4A3134D7" w14:textId="77777777" w:rsidR="000C552E" w:rsidRDefault="000C552E" w:rsidP="0034018F">
            <w:pPr>
              <w:pStyle w:val="Tabletext"/>
              <w:rPr>
                <w:bCs/>
              </w:rPr>
            </w:pPr>
          </w:p>
          <w:p w14:paraId="124B927D" w14:textId="77777777" w:rsidR="00A56A3E" w:rsidRDefault="00A56A3E" w:rsidP="0034018F">
            <w:pPr>
              <w:pStyle w:val="Tabletext"/>
              <w:rPr>
                <w:bCs/>
              </w:rPr>
            </w:pPr>
          </w:p>
          <w:p w14:paraId="47F5081F" w14:textId="77777777" w:rsidR="00A56A3E" w:rsidRDefault="00A56A3E" w:rsidP="0034018F">
            <w:pPr>
              <w:pStyle w:val="Tabletext"/>
              <w:rPr>
                <w:bCs/>
              </w:rPr>
            </w:pPr>
          </w:p>
          <w:p w14:paraId="25C675EF" w14:textId="0C4D46DF" w:rsidR="00A56A3E" w:rsidRDefault="00A56A3E" w:rsidP="0034018F">
            <w:pPr>
              <w:pStyle w:val="Tabletext"/>
              <w:rPr>
                <w:bCs/>
              </w:rPr>
            </w:pPr>
            <w:r>
              <w:rPr>
                <w:bCs/>
              </w:rPr>
              <w:t>01/01/2021</w:t>
            </w:r>
          </w:p>
        </w:tc>
        <w:tc>
          <w:tcPr>
            <w:tcW w:w="1440" w:type="dxa"/>
            <w:tcBorders>
              <w:right w:val="single" w:sz="4" w:space="0" w:color="000080"/>
            </w:tcBorders>
          </w:tcPr>
          <w:p w14:paraId="61534C10" w14:textId="77777777" w:rsidR="000C552E" w:rsidRDefault="000C552E" w:rsidP="0034018F">
            <w:pPr>
              <w:pStyle w:val="Tabletext"/>
            </w:pPr>
          </w:p>
          <w:p w14:paraId="2925E7D6" w14:textId="77777777" w:rsidR="00A56A3E" w:rsidRDefault="00A56A3E" w:rsidP="0034018F">
            <w:pPr>
              <w:pStyle w:val="Tabletext"/>
            </w:pPr>
          </w:p>
          <w:p w14:paraId="193C54A0" w14:textId="77777777" w:rsidR="00A56A3E" w:rsidRDefault="00A56A3E" w:rsidP="0034018F">
            <w:pPr>
              <w:pStyle w:val="Tabletext"/>
            </w:pPr>
          </w:p>
          <w:p w14:paraId="49A7096C" w14:textId="228E8E20" w:rsidR="00A56A3E" w:rsidRDefault="00A56A3E" w:rsidP="0034018F">
            <w:pPr>
              <w:pStyle w:val="Tabletext"/>
            </w:pPr>
            <w:r>
              <w:t>06/31/2021</w:t>
            </w:r>
          </w:p>
        </w:tc>
      </w:tr>
      <w:tr w:rsidR="00A56A3E" w:rsidRPr="00B51EF7" w14:paraId="5A1F5DA6" w14:textId="77777777" w:rsidTr="000C552E">
        <w:trPr>
          <w:cantSplit/>
          <w:trHeight w:val="165"/>
        </w:trPr>
        <w:tc>
          <w:tcPr>
            <w:tcW w:w="1975" w:type="dxa"/>
          </w:tcPr>
          <w:p w14:paraId="0EBD8B5F" w14:textId="45FF19BC" w:rsidR="00A56A3E" w:rsidRPr="000C552E" w:rsidRDefault="00A56A3E" w:rsidP="00A56A3E">
            <w:pPr>
              <w:pStyle w:val="Tabletext"/>
              <w:rPr>
                <w:sz w:val="16"/>
                <w:szCs w:val="16"/>
              </w:rPr>
            </w:pPr>
            <w:r>
              <w:rPr>
                <w:sz w:val="16"/>
                <w:szCs w:val="16"/>
              </w:rPr>
              <w:t>2</w:t>
            </w:r>
            <w:r w:rsidRPr="000C552E">
              <w:rPr>
                <w:sz w:val="16"/>
                <w:szCs w:val="16"/>
              </w:rPr>
              <w:t xml:space="preserve">. </w:t>
            </w:r>
            <w:r w:rsidRPr="000C552E">
              <w:rPr>
                <w:bCs/>
                <w:iCs/>
                <w:sz w:val="16"/>
                <w:szCs w:val="16"/>
              </w:rPr>
              <w:t xml:space="preserve"> </w:t>
            </w:r>
            <w:r w:rsidRPr="005B6E90">
              <w:t xml:space="preserve"> </w:t>
            </w:r>
            <w:r w:rsidR="00A64C1E" w:rsidRPr="005B6E90">
              <w:t xml:space="preserve"> </w:t>
            </w:r>
            <w:r w:rsidR="00A64C1E" w:rsidRPr="00A64C1E">
              <w:rPr>
                <w:sz w:val="16"/>
                <w:szCs w:val="16"/>
              </w:rPr>
              <w:t>Local Health Departments were trying to determine where to place individuals in congregant care areas.  This was an initial issue due to individuals not able to isolate from other family members in their own home.</w:t>
            </w:r>
            <w:r w:rsidR="00A64C1E" w:rsidRPr="005B6E90">
              <w:t xml:space="preserve">  </w:t>
            </w:r>
          </w:p>
        </w:tc>
        <w:tc>
          <w:tcPr>
            <w:tcW w:w="3060" w:type="dxa"/>
            <w:vAlign w:val="center"/>
          </w:tcPr>
          <w:p w14:paraId="1898762F" w14:textId="3DA6FCB7" w:rsidR="00A56A3E" w:rsidRPr="00956255" w:rsidRDefault="00A56A3E" w:rsidP="00A56A3E">
            <w:pPr>
              <w:pStyle w:val="Tabletext"/>
            </w:pPr>
            <w:r>
              <w:t xml:space="preserve">Local agencies were able to locate hotels that would isolate individuals who needed to be quarantined. The State was able to open congregant care sites in through the State Park system to house these individuals. </w:t>
            </w:r>
          </w:p>
        </w:tc>
        <w:tc>
          <w:tcPr>
            <w:tcW w:w="1440" w:type="dxa"/>
          </w:tcPr>
          <w:p w14:paraId="2AD99B8F" w14:textId="77777777" w:rsidR="00A56A3E" w:rsidRDefault="00A56A3E" w:rsidP="00A56A3E">
            <w:pPr>
              <w:pStyle w:val="Tabletext"/>
              <w:rPr>
                <w:b/>
                <w:bCs/>
              </w:rPr>
            </w:pPr>
          </w:p>
          <w:p w14:paraId="0FD95F14" w14:textId="77777777" w:rsidR="00A56A3E" w:rsidRDefault="00A56A3E" w:rsidP="00A56A3E">
            <w:pPr>
              <w:pStyle w:val="Tabletext"/>
              <w:rPr>
                <w:b/>
                <w:bCs/>
              </w:rPr>
            </w:pPr>
          </w:p>
          <w:p w14:paraId="311B11D8" w14:textId="77777777" w:rsidR="00A56A3E" w:rsidRDefault="00A56A3E" w:rsidP="00A56A3E">
            <w:pPr>
              <w:pStyle w:val="Tabletext"/>
              <w:rPr>
                <w:b/>
                <w:bCs/>
              </w:rPr>
            </w:pPr>
          </w:p>
          <w:p w14:paraId="2BFAA52B" w14:textId="2E77483D" w:rsidR="00A56A3E" w:rsidRDefault="00A56A3E" w:rsidP="00A56A3E">
            <w:pPr>
              <w:pStyle w:val="Tabletext"/>
              <w:rPr>
                <w:b/>
                <w:bCs/>
                <w:color w:val="FFFFFF"/>
              </w:rPr>
            </w:pPr>
            <w:r w:rsidRPr="00B36C99">
              <w:rPr>
                <w:b/>
                <w:bCs/>
              </w:rPr>
              <w:t>Planning</w:t>
            </w:r>
          </w:p>
        </w:tc>
        <w:tc>
          <w:tcPr>
            <w:tcW w:w="1800" w:type="dxa"/>
          </w:tcPr>
          <w:p w14:paraId="0F9CCAAF" w14:textId="77777777" w:rsidR="00A56A3E" w:rsidRDefault="00A56A3E" w:rsidP="00A56A3E">
            <w:pPr>
              <w:pStyle w:val="Tabletext"/>
            </w:pPr>
          </w:p>
          <w:p w14:paraId="0D185FFD" w14:textId="77777777" w:rsidR="00A56A3E" w:rsidRDefault="00A56A3E" w:rsidP="00A56A3E">
            <w:pPr>
              <w:pStyle w:val="Tabletext"/>
            </w:pPr>
          </w:p>
          <w:p w14:paraId="7B271A2A" w14:textId="77777777" w:rsidR="00A56A3E" w:rsidRDefault="00A56A3E" w:rsidP="00A56A3E">
            <w:pPr>
              <w:pStyle w:val="Tabletext"/>
            </w:pPr>
          </w:p>
          <w:p w14:paraId="2623B25F" w14:textId="574323DB" w:rsidR="00A56A3E" w:rsidRDefault="00A56A3E" w:rsidP="00A56A3E">
            <w:pPr>
              <w:pStyle w:val="Tabletext"/>
            </w:pPr>
            <w:r>
              <w:t>KDPH / Local agencies</w:t>
            </w:r>
          </w:p>
          <w:p w14:paraId="427EBCC1" w14:textId="77777777" w:rsidR="00A56A3E" w:rsidRDefault="00A56A3E" w:rsidP="00A56A3E">
            <w:pPr>
              <w:pStyle w:val="Tabletext"/>
            </w:pPr>
          </w:p>
          <w:p w14:paraId="499F3006" w14:textId="75B1A7CB" w:rsidR="00A56A3E" w:rsidRDefault="00A56A3E" w:rsidP="00A56A3E">
            <w:pPr>
              <w:pStyle w:val="Tabletext"/>
            </w:pPr>
          </w:p>
        </w:tc>
        <w:tc>
          <w:tcPr>
            <w:tcW w:w="1800" w:type="dxa"/>
          </w:tcPr>
          <w:p w14:paraId="374E2AC9" w14:textId="77777777" w:rsidR="00A56A3E" w:rsidRDefault="00A56A3E" w:rsidP="00A56A3E">
            <w:pPr>
              <w:pStyle w:val="Tabletext"/>
            </w:pPr>
          </w:p>
          <w:p w14:paraId="4CCC43A0" w14:textId="77777777" w:rsidR="00A56A3E" w:rsidRDefault="00A56A3E" w:rsidP="00A56A3E">
            <w:pPr>
              <w:pStyle w:val="Tabletext"/>
            </w:pPr>
          </w:p>
          <w:p w14:paraId="534B2C76" w14:textId="77777777" w:rsidR="00A56A3E" w:rsidRDefault="00A56A3E" w:rsidP="00A56A3E">
            <w:pPr>
              <w:pStyle w:val="Tabletext"/>
            </w:pPr>
          </w:p>
          <w:p w14:paraId="05F594D2" w14:textId="6D63F192" w:rsidR="00A56A3E" w:rsidRDefault="00A56A3E" w:rsidP="00A56A3E">
            <w:pPr>
              <w:pStyle w:val="Tabletext"/>
            </w:pPr>
            <w:r>
              <w:t>RRCC Team</w:t>
            </w:r>
          </w:p>
          <w:p w14:paraId="395AE99F" w14:textId="77777777" w:rsidR="00A56A3E" w:rsidRDefault="00A56A3E" w:rsidP="00A56A3E">
            <w:pPr>
              <w:pStyle w:val="Tabletext"/>
            </w:pPr>
          </w:p>
          <w:p w14:paraId="7B022201" w14:textId="67F44941" w:rsidR="00A56A3E" w:rsidRDefault="00A56A3E" w:rsidP="00A56A3E">
            <w:pPr>
              <w:pStyle w:val="Tabletext"/>
            </w:pPr>
          </w:p>
        </w:tc>
        <w:tc>
          <w:tcPr>
            <w:tcW w:w="1260" w:type="dxa"/>
          </w:tcPr>
          <w:p w14:paraId="679EEA59" w14:textId="77777777" w:rsidR="00A56A3E" w:rsidRDefault="00A56A3E" w:rsidP="00A56A3E">
            <w:pPr>
              <w:pStyle w:val="Tabletext"/>
              <w:rPr>
                <w:bCs/>
              </w:rPr>
            </w:pPr>
          </w:p>
          <w:p w14:paraId="569135FE" w14:textId="77777777" w:rsidR="00A56A3E" w:rsidRDefault="00A56A3E" w:rsidP="00A56A3E">
            <w:pPr>
              <w:pStyle w:val="Tabletext"/>
              <w:rPr>
                <w:bCs/>
              </w:rPr>
            </w:pPr>
          </w:p>
          <w:p w14:paraId="1BD14411" w14:textId="77777777" w:rsidR="00A56A3E" w:rsidRDefault="00A56A3E" w:rsidP="00A56A3E">
            <w:pPr>
              <w:pStyle w:val="Tabletext"/>
              <w:rPr>
                <w:bCs/>
              </w:rPr>
            </w:pPr>
          </w:p>
          <w:p w14:paraId="1BDF79AD" w14:textId="462CFE24" w:rsidR="00A56A3E" w:rsidRDefault="00A56A3E" w:rsidP="00A56A3E">
            <w:pPr>
              <w:pStyle w:val="Tabletext"/>
              <w:rPr>
                <w:bCs/>
              </w:rPr>
            </w:pPr>
            <w:r>
              <w:rPr>
                <w:bCs/>
              </w:rPr>
              <w:t>01/01/2021</w:t>
            </w:r>
          </w:p>
        </w:tc>
        <w:tc>
          <w:tcPr>
            <w:tcW w:w="1440" w:type="dxa"/>
            <w:tcBorders>
              <w:right w:val="single" w:sz="4" w:space="0" w:color="000080"/>
            </w:tcBorders>
          </w:tcPr>
          <w:p w14:paraId="471E8D3C" w14:textId="77777777" w:rsidR="00A56A3E" w:rsidRDefault="00A56A3E" w:rsidP="00A56A3E">
            <w:pPr>
              <w:pStyle w:val="Tabletext"/>
            </w:pPr>
          </w:p>
          <w:p w14:paraId="7A1D0EAF" w14:textId="77777777" w:rsidR="00A56A3E" w:rsidRDefault="00A56A3E" w:rsidP="00A56A3E">
            <w:pPr>
              <w:pStyle w:val="Tabletext"/>
            </w:pPr>
          </w:p>
          <w:p w14:paraId="47C95240" w14:textId="77777777" w:rsidR="00A56A3E" w:rsidRDefault="00A56A3E" w:rsidP="00A56A3E">
            <w:pPr>
              <w:pStyle w:val="Tabletext"/>
            </w:pPr>
          </w:p>
          <w:p w14:paraId="674B9852" w14:textId="116532B3" w:rsidR="00A56A3E" w:rsidRDefault="00A56A3E" w:rsidP="00A56A3E">
            <w:pPr>
              <w:pStyle w:val="Tabletext"/>
            </w:pPr>
            <w:r>
              <w:t>06/31/2021</w:t>
            </w:r>
          </w:p>
        </w:tc>
      </w:tr>
      <w:tr w:rsidR="00A56A3E" w:rsidRPr="00B51EF7" w14:paraId="2B09488A" w14:textId="77777777" w:rsidTr="000C552E">
        <w:trPr>
          <w:cantSplit/>
          <w:trHeight w:val="165"/>
        </w:trPr>
        <w:tc>
          <w:tcPr>
            <w:tcW w:w="1975" w:type="dxa"/>
          </w:tcPr>
          <w:p w14:paraId="50C741E4" w14:textId="6A4FB860" w:rsidR="00A56A3E" w:rsidRPr="000C552E" w:rsidRDefault="00A56A3E" w:rsidP="00A56A3E">
            <w:pPr>
              <w:pStyle w:val="Tabletext"/>
              <w:rPr>
                <w:sz w:val="16"/>
                <w:szCs w:val="16"/>
              </w:rPr>
            </w:pPr>
            <w:r w:rsidRPr="000C552E">
              <w:rPr>
                <w:sz w:val="16"/>
                <w:szCs w:val="16"/>
              </w:rPr>
              <w:t xml:space="preserve">3. </w:t>
            </w:r>
            <w:r w:rsidRPr="005B6E90">
              <w:t xml:space="preserve"> </w:t>
            </w:r>
            <w:r w:rsidRPr="00060EEE">
              <w:rPr>
                <w:sz w:val="16"/>
                <w:szCs w:val="16"/>
              </w:rPr>
              <w:t>Health departments needing clear funding guidance so they could properly track expenses during the pandemic.</w:t>
            </w:r>
            <w:r w:rsidRPr="005B6E90">
              <w:t xml:space="preserve">  </w:t>
            </w:r>
          </w:p>
        </w:tc>
        <w:tc>
          <w:tcPr>
            <w:tcW w:w="3060" w:type="dxa"/>
            <w:vAlign w:val="center"/>
          </w:tcPr>
          <w:p w14:paraId="0EC4646F" w14:textId="633C46D7" w:rsidR="00A56A3E" w:rsidRPr="003A74DE" w:rsidRDefault="00A56A3E" w:rsidP="00A56A3E">
            <w:pPr>
              <w:pStyle w:val="Tabletext"/>
            </w:pPr>
            <w:r w:rsidRPr="003A74DE">
              <w:t xml:space="preserve">Cost centers needed to be established early to code expenses.  This was later realized and established for LHDs.  Special funding was also acquired and information was disseminated to LHDs. </w:t>
            </w:r>
          </w:p>
          <w:p w14:paraId="6E3C352D" w14:textId="77777777" w:rsidR="00A56A3E" w:rsidRPr="003A74DE" w:rsidRDefault="00A56A3E" w:rsidP="00A56A3E">
            <w:pPr>
              <w:pStyle w:val="Tabletext"/>
            </w:pPr>
          </w:p>
          <w:p w14:paraId="40EDC261" w14:textId="77777777" w:rsidR="00A56A3E" w:rsidRPr="003A74DE" w:rsidRDefault="00A56A3E" w:rsidP="00A56A3E">
            <w:pPr>
              <w:pStyle w:val="Tabletext"/>
            </w:pPr>
          </w:p>
          <w:p w14:paraId="0737A019" w14:textId="071BE52C" w:rsidR="00A56A3E" w:rsidRPr="003A74DE" w:rsidRDefault="00A56A3E" w:rsidP="00A56A3E">
            <w:pPr>
              <w:pStyle w:val="Tabletext"/>
            </w:pPr>
          </w:p>
        </w:tc>
        <w:tc>
          <w:tcPr>
            <w:tcW w:w="1440" w:type="dxa"/>
          </w:tcPr>
          <w:p w14:paraId="5A86F1B1" w14:textId="77777777" w:rsidR="00A56A3E" w:rsidRDefault="00A56A3E" w:rsidP="00A56A3E">
            <w:pPr>
              <w:pStyle w:val="Tabletext"/>
              <w:rPr>
                <w:b/>
                <w:bCs/>
              </w:rPr>
            </w:pPr>
          </w:p>
          <w:p w14:paraId="48F9EA51" w14:textId="52E884B3" w:rsidR="00A56A3E" w:rsidRDefault="00A56A3E" w:rsidP="00A56A3E">
            <w:pPr>
              <w:pStyle w:val="Tabletext"/>
              <w:rPr>
                <w:b/>
                <w:bCs/>
              </w:rPr>
            </w:pPr>
          </w:p>
          <w:p w14:paraId="3D37AE5B" w14:textId="77777777" w:rsidR="00A56A3E" w:rsidRDefault="00A56A3E" w:rsidP="00A56A3E">
            <w:pPr>
              <w:pStyle w:val="Tabletext"/>
              <w:rPr>
                <w:b/>
                <w:bCs/>
              </w:rPr>
            </w:pPr>
          </w:p>
          <w:p w14:paraId="3705792C" w14:textId="3FA945DC" w:rsidR="00A56A3E" w:rsidRDefault="00A56A3E" w:rsidP="00A56A3E">
            <w:pPr>
              <w:pStyle w:val="Tabletext"/>
              <w:rPr>
                <w:b/>
                <w:bCs/>
              </w:rPr>
            </w:pPr>
            <w:r>
              <w:rPr>
                <w:b/>
                <w:bCs/>
              </w:rPr>
              <w:t xml:space="preserve">Planning </w:t>
            </w:r>
          </w:p>
          <w:p w14:paraId="581D6228" w14:textId="77777777" w:rsidR="00A56A3E" w:rsidRDefault="00A56A3E" w:rsidP="00A56A3E">
            <w:pPr>
              <w:pStyle w:val="Tabletext"/>
              <w:rPr>
                <w:b/>
                <w:bCs/>
              </w:rPr>
            </w:pPr>
          </w:p>
          <w:p w14:paraId="3F74AABD" w14:textId="77777777" w:rsidR="00A56A3E" w:rsidRDefault="00A56A3E" w:rsidP="00A56A3E">
            <w:pPr>
              <w:pStyle w:val="Tabletext"/>
              <w:rPr>
                <w:b/>
                <w:bCs/>
              </w:rPr>
            </w:pPr>
          </w:p>
          <w:p w14:paraId="7C059181" w14:textId="272F46FC" w:rsidR="00A56A3E" w:rsidRDefault="00A56A3E" w:rsidP="00A56A3E">
            <w:pPr>
              <w:pStyle w:val="Tabletext"/>
              <w:rPr>
                <w:b/>
                <w:bCs/>
                <w:color w:val="FFFFFF"/>
              </w:rPr>
            </w:pPr>
          </w:p>
        </w:tc>
        <w:tc>
          <w:tcPr>
            <w:tcW w:w="1800" w:type="dxa"/>
          </w:tcPr>
          <w:p w14:paraId="6A2CEACC" w14:textId="77777777" w:rsidR="00A56A3E" w:rsidRDefault="00A56A3E" w:rsidP="00A56A3E">
            <w:pPr>
              <w:pStyle w:val="Tabletext"/>
            </w:pPr>
          </w:p>
          <w:p w14:paraId="5838773D" w14:textId="77777777" w:rsidR="00A56A3E" w:rsidRDefault="00A56A3E" w:rsidP="00A56A3E">
            <w:pPr>
              <w:pStyle w:val="Tabletext"/>
            </w:pPr>
          </w:p>
          <w:p w14:paraId="094344EB" w14:textId="77777777" w:rsidR="00A56A3E" w:rsidRDefault="00A56A3E" w:rsidP="00A56A3E">
            <w:pPr>
              <w:pStyle w:val="Tabletext"/>
            </w:pPr>
          </w:p>
          <w:p w14:paraId="74B7921B" w14:textId="46D46B03" w:rsidR="00A56A3E" w:rsidRDefault="00A56A3E" w:rsidP="00A56A3E">
            <w:pPr>
              <w:pStyle w:val="Tabletext"/>
            </w:pPr>
            <w:r>
              <w:t>KDPH</w:t>
            </w:r>
          </w:p>
          <w:p w14:paraId="1FC460AD" w14:textId="77777777" w:rsidR="00A56A3E" w:rsidRDefault="00A56A3E" w:rsidP="00A56A3E">
            <w:pPr>
              <w:pStyle w:val="Tabletext"/>
            </w:pPr>
          </w:p>
          <w:p w14:paraId="7CAC0B6E" w14:textId="6F519C03" w:rsidR="00A56A3E" w:rsidRDefault="00A56A3E" w:rsidP="00A56A3E">
            <w:pPr>
              <w:pStyle w:val="Tabletext"/>
            </w:pPr>
          </w:p>
        </w:tc>
        <w:tc>
          <w:tcPr>
            <w:tcW w:w="1800" w:type="dxa"/>
          </w:tcPr>
          <w:p w14:paraId="7A0A9B5D" w14:textId="77777777" w:rsidR="00A56A3E" w:rsidRDefault="00A56A3E" w:rsidP="00A56A3E">
            <w:pPr>
              <w:pStyle w:val="Tabletext"/>
            </w:pPr>
          </w:p>
          <w:p w14:paraId="03F74822" w14:textId="77777777" w:rsidR="00A56A3E" w:rsidRDefault="00A56A3E" w:rsidP="00A56A3E">
            <w:pPr>
              <w:pStyle w:val="Tabletext"/>
            </w:pPr>
          </w:p>
          <w:p w14:paraId="4096F1E1" w14:textId="77777777" w:rsidR="00A56A3E" w:rsidRDefault="00A56A3E" w:rsidP="00A56A3E">
            <w:pPr>
              <w:pStyle w:val="Tabletext"/>
            </w:pPr>
          </w:p>
          <w:p w14:paraId="5A62C12B" w14:textId="29C790B8" w:rsidR="00A56A3E" w:rsidRDefault="00A56A3E" w:rsidP="00A56A3E">
            <w:pPr>
              <w:pStyle w:val="Tabletext"/>
            </w:pPr>
            <w:r>
              <w:t>RRCC Team</w:t>
            </w:r>
          </w:p>
          <w:p w14:paraId="0BF77BF1" w14:textId="77777777" w:rsidR="00A56A3E" w:rsidRDefault="00A56A3E" w:rsidP="00A56A3E">
            <w:pPr>
              <w:pStyle w:val="Tabletext"/>
            </w:pPr>
          </w:p>
          <w:p w14:paraId="6F3F67AE" w14:textId="0833BBA0" w:rsidR="00A56A3E" w:rsidRDefault="00A56A3E" w:rsidP="00A56A3E">
            <w:pPr>
              <w:pStyle w:val="Tabletext"/>
            </w:pPr>
          </w:p>
        </w:tc>
        <w:tc>
          <w:tcPr>
            <w:tcW w:w="1260" w:type="dxa"/>
          </w:tcPr>
          <w:p w14:paraId="1135D8CA" w14:textId="77777777" w:rsidR="00A56A3E" w:rsidRDefault="00A56A3E" w:rsidP="00A56A3E">
            <w:pPr>
              <w:pStyle w:val="Tabletext"/>
              <w:rPr>
                <w:bCs/>
              </w:rPr>
            </w:pPr>
          </w:p>
          <w:p w14:paraId="59CA6F6F" w14:textId="77777777" w:rsidR="00A56A3E" w:rsidRDefault="00A56A3E" w:rsidP="00A56A3E">
            <w:pPr>
              <w:pStyle w:val="Tabletext"/>
              <w:rPr>
                <w:bCs/>
              </w:rPr>
            </w:pPr>
          </w:p>
          <w:p w14:paraId="4621DC0D" w14:textId="77777777" w:rsidR="00A56A3E" w:rsidRDefault="00A56A3E" w:rsidP="00A56A3E">
            <w:pPr>
              <w:pStyle w:val="Tabletext"/>
              <w:rPr>
                <w:bCs/>
              </w:rPr>
            </w:pPr>
          </w:p>
          <w:p w14:paraId="6E796DA0" w14:textId="1C03B9B0" w:rsidR="00A56A3E" w:rsidRDefault="00A56A3E" w:rsidP="00A56A3E">
            <w:pPr>
              <w:pStyle w:val="Tabletext"/>
              <w:rPr>
                <w:bCs/>
              </w:rPr>
            </w:pPr>
            <w:r>
              <w:rPr>
                <w:bCs/>
              </w:rPr>
              <w:t>01/01/2021</w:t>
            </w:r>
          </w:p>
        </w:tc>
        <w:tc>
          <w:tcPr>
            <w:tcW w:w="1440" w:type="dxa"/>
            <w:tcBorders>
              <w:right w:val="single" w:sz="4" w:space="0" w:color="000080"/>
            </w:tcBorders>
          </w:tcPr>
          <w:p w14:paraId="55F75C0B" w14:textId="77777777" w:rsidR="00A56A3E" w:rsidRDefault="00A56A3E" w:rsidP="00A56A3E">
            <w:pPr>
              <w:pStyle w:val="Tabletext"/>
            </w:pPr>
          </w:p>
          <w:p w14:paraId="0D92FA4D" w14:textId="77777777" w:rsidR="00A56A3E" w:rsidRDefault="00A56A3E" w:rsidP="00A56A3E">
            <w:pPr>
              <w:pStyle w:val="Tabletext"/>
            </w:pPr>
          </w:p>
          <w:p w14:paraId="5A990974" w14:textId="77777777" w:rsidR="00A56A3E" w:rsidRDefault="00A56A3E" w:rsidP="00A56A3E">
            <w:pPr>
              <w:pStyle w:val="Tabletext"/>
            </w:pPr>
          </w:p>
          <w:p w14:paraId="436F9739" w14:textId="3C0C8ACC" w:rsidR="00A56A3E" w:rsidRDefault="00A56A3E" w:rsidP="00A56A3E">
            <w:pPr>
              <w:pStyle w:val="Tabletext"/>
            </w:pPr>
            <w:r>
              <w:t>06/31/2021</w:t>
            </w:r>
          </w:p>
        </w:tc>
      </w:tr>
      <w:tr w:rsidR="00A56A3E" w:rsidRPr="00B51EF7" w14:paraId="21680BEE" w14:textId="77777777" w:rsidTr="000C552E">
        <w:trPr>
          <w:cantSplit/>
          <w:trHeight w:val="165"/>
        </w:trPr>
        <w:tc>
          <w:tcPr>
            <w:tcW w:w="1975" w:type="dxa"/>
          </w:tcPr>
          <w:p w14:paraId="6A3B5EF4" w14:textId="6B7E9808" w:rsidR="00A56A3E" w:rsidRPr="000C552E" w:rsidRDefault="00A56A3E" w:rsidP="00A56A3E">
            <w:pPr>
              <w:pStyle w:val="Tabletext"/>
              <w:rPr>
                <w:sz w:val="16"/>
                <w:szCs w:val="16"/>
              </w:rPr>
            </w:pPr>
            <w:r>
              <w:rPr>
                <w:sz w:val="16"/>
                <w:szCs w:val="16"/>
              </w:rPr>
              <w:t xml:space="preserve">4. </w:t>
            </w:r>
            <w:r w:rsidRPr="005B6E90">
              <w:t xml:space="preserve"> </w:t>
            </w:r>
            <w:r w:rsidRPr="00060EEE">
              <w:rPr>
                <w:sz w:val="16"/>
                <w:szCs w:val="16"/>
              </w:rPr>
              <w:t>Healthcare agencies began to encounter a lack of PPE supplies and testing products.  Supply chains were at their limits and while some larger healthcare agencies were able to have more buying power than smaller agencies.</w:t>
            </w:r>
          </w:p>
        </w:tc>
        <w:tc>
          <w:tcPr>
            <w:tcW w:w="3060" w:type="dxa"/>
            <w:vAlign w:val="center"/>
          </w:tcPr>
          <w:p w14:paraId="02B6950E" w14:textId="01FA9890" w:rsidR="00A56A3E" w:rsidRDefault="00A56A3E" w:rsidP="00A56A3E">
            <w:pPr>
              <w:pStyle w:val="Tabletext"/>
              <w:rPr>
                <w:highlight w:val="lightGray"/>
              </w:rPr>
            </w:pPr>
            <w:r w:rsidRPr="003A74DE">
              <w:t xml:space="preserve">After the Governor declared a state of emergency, SNS supplies were released and distributed to all states to eliminate the gaps.  The amount of supplies needed was never a realized issue until this pandemic exposed the need.  </w:t>
            </w:r>
          </w:p>
        </w:tc>
        <w:tc>
          <w:tcPr>
            <w:tcW w:w="1440" w:type="dxa"/>
          </w:tcPr>
          <w:p w14:paraId="7CD0BD97" w14:textId="77777777" w:rsidR="00A56A3E" w:rsidRDefault="00A56A3E" w:rsidP="00A56A3E">
            <w:pPr>
              <w:pStyle w:val="Tabletext"/>
              <w:rPr>
                <w:b/>
                <w:bCs/>
              </w:rPr>
            </w:pPr>
          </w:p>
          <w:p w14:paraId="29CC709C" w14:textId="77777777" w:rsidR="00A56A3E" w:rsidRDefault="00A56A3E" w:rsidP="00A56A3E">
            <w:pPr>
              <w:pStyle w:val="Tabletext"/>
              <w:rPr>
                <w:b/>
                <w:bCs/>
              </w:rPr>
            </w:pPr>
          </w:p>
          <w:p w14:paraId="3180E878" w14:textId="3AA01182" w:rsidR="00A56A3E" w:rsidRDefault="00A56A3E" w:rsidP="00A56A3E">
            <w:pPr>
              <w:pStyle w:val="Tabletext"/>
              <w:rPr>
                <w:b/>
                <w:bCs/>
              </w:rPr>
            </w:pPr>
            <w:r>
              <w:rPr>
                <w:b/>
                <w:bCs/>
              </w:rPr>
              <w:t>Equipment</w:t>
            </w:r>
          </w:p>
        </w:tc>
        <w:tc>
          <w:tcPr>
            <w:tcW w:w="1800" w:type="dxa"/>
          </w:tcPr>
          <w:p w14:paraId="7F4C20B0" w14:textId="77777777" w:rsidR="00A56A3E" w:rsidRDefault="00A56A3E" w:rsidP="00A56A3E">
            <w:pPr>
              <w:pStyle w:val="Tabletext"/>
            </w:pPr>
          </w:p>
          <w:p w14:paraId="39B9714B" w14:textId="77777777" w:rsidR="00A56A3E" w:rsidRDefault="00A56A3E" w:rsidP="00A56A3E">
            <w:pPr>
              <w:pStyle w:val="Tabletext"/>
            </w:pPr>
          </w:p>
          <w:p w14:paraId="16B854E9" w14:textId="77777777" w:rsidR="00A56A3E" w:rsidRDefault="00A56A3E" w:rsidP="00A56A3E">
            <w:pPr>
              <w:pStyle w:val="Tabletext"/>
            </w:pPr>
            <w:r>
              <w:t>KDPH</w:t>
            </w:r>
          </w:p>
          <w:p w14:paraId="396307C8" w14:textId="2D9758CC" w:rsidR="00A56A3E" w:rsidRDefault="00A56A3E" w:rsidP="00A56A3E">
            <w:pPr>
              <w:pStyle w:val="Tabletext"/>
            </w:pPr>
            <w:r>
              <w:t>BGHCC</w:t>
            </w:r>
          </w:p>
        </w:tc>
        <w:tc>
          <w:tcPr>
            <w:tcW w:w="1800" w:type="dxa"/>
          </w:tcPr>
          <w:p w14:paraId="4022255D" w14:textId="77777777" w:rsidR="00A56A3E" w:rsidRDefault="00A56A3E" w:rsidP="00A56A3E">
            <w:pPr>
              <w:pStyle w:val="Tabletext"/>
            </w:pPr>
          </w:p>
          <w:p w14:paraId="5E593345" w14:textId="77777777" w:rsidR="00A56A3E" w:rsidRDefault="00A56A3E" w:rsidP="00A56A3E">
            <w:pPr>
              <w:pStyle w:val="Tabletext"/>
            </w:pPr>
          </w:p>
          <w:p w14:paraId="324053C4" w14:textId="77777777" w:rsidR="00A56A3E" w:rsidRDefault="00A56A3E" w:rsidP="00A56A3E">
            <w:pPr>
              <w:pStyle w:val="Tabletext"/>
            </w:pPr>
            <w:r>
              <w:t>RRCC Team</w:t>
            </w:r>
          </w:p>
          <w:p w14:paraId="272E5960" w14:textId="7B0D13DB" w:rsidR="00A56A3E" w:rsidRDefault="00A56A3E" w:rsidP="00A56A3E">
            <w:pPr>
              <w:pStyle w:val="Tabletext"/>
            </w:pPr>
            <w:r>
              <w:t>Dave Carney</w:t>
            </w:r>
          </w:p>
        </w:tc>
        <w:tc>
          <w:tcPr>
            <w:tcW w:w="1260" w:type="dxa"/>
          </w:tcPr>
          <w:p w14:paraId="15C2A020" w14:textId="77777777" w:rsidR="00A56A3E" w:rsidRDefault="00A56A3E" w:rsidP="00A56A3E">
            <w:pPr>
              <w:pStyle w:val="Tabletext"/>
              <w:rPr>
                <w:bCs/>
              </w:rPr>
            </w:pPr>
          </w:p>
          <w:p w14:paraId="6685B3EE" w14:textId="77777777" w:rsidR="00A56A3E" w:rsidRDefault="00A56A3E" w:rsidP="00A56A3E">
            <w:pPr>
              <w:pStyle w:val="Tabletext"/>
              <w:rPr>
                <w:bCs/>
              </w:rPr>
            </w:pPr>
          </w:p>
          <w:p w14:paraId="3254962A" w14:textId="77777777" w:rsidR="00A56A3E" w:rsidRDefault="00A56A3E" w:rsidP="00A56A3E">
            <w:pPr>
              <w:pStyle w:val="Tabletext"/>
              <w:rPr>
                <w:bCs/>
              </w:rPr>
            </w:pPr>
          </w:p>
          <w:p w14:paraId="382789EC" w14:textId="7211A7E4" w:rsidR="00A56A3E" w:rsidRDefault="00A56A3E" w:rsidP="00A56A3E">
            <w:pPr>
              <w:pStyle w:val="Tabletext"/>
              <w:rPr>
                <w:bCs/>
              </w:rPr>
            </w:pPr>
            <w:r>
              <w:rPr>
                <w:bCs/>
              </w:rPr>
              <w:t>01/01/2021</w:t>
            </w:r>
          </w:p>
        </w:tc>
        <w:tc>
          <w:tcPr>
            <w:tcW w:w="1440" w:type="dxa"/>
            <w:tcBorders>
              <w:right w:val="single" w:sz="4" w:space="0" w:color="000080"/>
            </w:tcBorders>
          </w:tcPr>
          <w:p w14:paraId="2A62BF7B" w14:textId="77777777" w:rsidR="00A56A3E" w:rsidRDefault="00A56A3E" w:rsidP="00A56A3E">
            <w:pPr>
              <w:pStyle w:val="Tabletext"/>
            </w:pPr>
          </w:p>
          <w:p w14:paraId="295889A8" w14:textId="77777777" w:rsidR="00A56A3E" w:rsidRDefault="00A56A3E" w:rsidP="00A56A3E">
            <w:pPr>
              <w:pStyle w:val="Tabletext"/>
            </w:pPr>
          </w:p>
          <w:p w14:paraId="44A5BFCF" w14:textId="77777777" w:rsidR="00A56A3E" w:rsidRDefault="00A56A3E" w:rsidP="00A56A3E">
            <w:pPr>
              <w:pStyle w:val="Tabletext"/>
            </w:pPr>
          </w:p>
          <w:p w14:paraId="5FE2F89A" w14:textId="25BC3082" w:rsidR="00A56A3E" w:rsidRDefault="00A56A3E" w:rsidP="00A56A3E">
            <w:pPr>
              <w:pStyle w:val="Tabletext"/>
            </w:pPr>
            <w:r>
              <w:t>06/31/2021</w:t>
            </w:r>
          </w:p>
        </w:tc>
      </w:tr>
      <w:tr w:rsidR="00A56A3E" w:rsidRPr="00B51EF7" w14:paraId="655D20AD" w14:textId="77777777" w:rsidTr="000C552E">
        <w:trPr>
          <w:cantSplit/>
          <w:trHeight w:val="165"/>
        </w:trPr>
        <w:tc>
          <w:tcPr>
            <w:tcW w:w="1975" w:type="dxa"/>
          </w:tcPr>
          <w:p w14:paraId="0742617A" w14:textId="4C9167AE" w:rsidR="00A56A3E" w:rsidRPr="00060EEE" w:rsidRDefault="00A56A3E" w:rsidP="00A56A3E">
            <w:pPr>
              <w:pStyle w:val="Tabletext"/>
              <w:rPr>
                <w:sz w:val="16"/>
                <w:szCs w:val="16"/>
              </w:rPr>
            </w:pPr>
            <w:r>
              <w:rPr>
                <w:sz w:val="16"/>
                <w:szCs w:val="16"/>
              </w:rPr>
              <w:t xml:space="preserve">5. </w:t>
            </w:r>
            <w:r w:rsidRPr="00060EEE">
              <w:rPr>
                <w:sz w:val="16"/>
                <w:szCs w:val="16"/>
              </w:rPr>
              <w:t xml:space="preserve">Non-emergency medical transportation was an issue.  Transport companies did not want to expose employees to COVID positive patients.  This created an issue with transporting COVID positive individuals to dialysis treatment centers.   </w:t>
            </w:r>
          </w:p>
        </w:tc>
        <w:tc>
          <w:tcPr>
            <w:tcW w:w="3060" w:type="dxa"/>
            <w:vAlign w:val="center"/>
          </w:tcPr>
          <w:p w14:paraId="18A23EDE" w14:textId="27A6384B" w:rsidR="00A56A3E" w:rsidRDefault="00A56A3E" w:rsidP="00A56A3E">
            <w:pPr>
              <w:pStyle w:val="Tabletext"/>
              <w:rPr>
                <w:highlight w:val="lightGray"/>
              </w:rPr>
            </w:pPr>
            <w:r w:rsidRPr="003A74DE">
              <w:t xml:space="preserve">The transportation later realized it was possible to transport patients for medical treatment without placing their employees in </w:t>
            </w:r>
            <w:proofErr w:type="spellStart"/>
            <w:r w:rsidRPr="003A74DE">
              <w:t>harms</w:t>
            </w:r>
            <w:proofErr w:type="spellEnd"/>
            <w:r w:rsidRPr="003A74DE">
              <w:t xml:space="preserve"> way.  The Coalition was able to acquire isolation devices so EMS could safely transport these individuals.  </w:t>
            </w:r>
          </w:p>
        </w:tc>
        <w:tc>
          <w:tcPr>
            <w:tcW w:w="1440" w:type="dxa"/>
          </w:tcPr>
          <w:p w14:paraId="452C3DCF" w14:textId="77777777" w:rsidR="00A56A3E" w:rsidRDefault="00A56A3E" w:rsidP="00A56A3E">
            <w:pPr>
              <w:pStyle w:val="Tabletext"/>
              <w:rPr>
                <w:b/>
                <w:bCs/>
              </w:rPr>
            </w:pPr>
          </w:p>
          <w:p w14:paraId="0BABEA3B" w14:textId="77777777" w:rsidR="00A56A3E" w:rsidRDefault="00A56A3E" w:rsidP="00A56A3E">
            <w:pPr>
              <w:pStyle w:val="Tabletext"/>
              <w:rPr>
                <w:b/>
                <w:bCs/>
              </w:rPr>
            </w:pPr>
          </w:p>
          <w:p w14:paraId="2352914F" w14:textId="0F53B4AC" w:rsidR="00A56A3E" w:rsidRDefault="00A56A3E" w:rsidP="00A56A3E">
            <w:pPr>
              <w:pStyle w:val="Tabletext"/>
              <w:rPr>
                <w:b/>
                <w:bCs/>
              </w:rPr>
            </w:pPr>
            <w:r>
              <w:rPr>
                <w:b/>
                <w:bCs/>
              </w:rPr>
              <w:t>Training / Exercise</w:t>
            </w:r>
          </w:p>
        </w:tc>
        <w:tc>
          <w:tcPr>
            <w:tcW w:w="1800" w:type="dxa"/>
          </w:tcPr>
          <w:p w14:paraId="4900330F" w14:textId="77777777" w:rsidR="00A56A3E" w:rsidRDefault="00A56A3E" w:rsidP="00A56A3E">
            <w:pPr>
              <w:pStyle w:val="Tabletext"/>
            </w:pPr>
          </w:p>
          <w:p w14:paraId="4AB020A4" w14:textId="77777777" w:rsidR="00A56A3E" w:rsidRDefault="00A56A3E" w:rsidP="00A56A3E">
            <w:pPr>
              <w:pStyle w:val="Tabletext"/>
            </w:pPr>
          </w:p>
          <w:p w14:paraId="319D4231" w14:textId="30879ADA" w:rsidR="00A56A3E" w:rsidRDefault="00A56A3E" w:rsidP="00A56A3E">
            <w:pPr>
              <w:pStyle w:val="Tabletext"/>
            </w:pPr>
            <w:r>
              <w:t>BGHCC</w:t>
            </w:r>
          </w:p>
        </w:tc>
        <w:tc>
          <w:tcPr>
            <w:tcW w:w="1800" w:type="dxa"/>
          </w:tcPr>
          <w:p w14:paraId="63894EC5" w14:textId="77777777" w:rsidR="00A56A3E" w:rsidRDefault="00A56A3E" w:rsidP="00A56A3E">
            <w:pPr>
              <w:pStyle w:val="Tabletext"/>
            </w:pPr>
          </w:p>
          <w:p w14:paraId="789F82C3" w14:textId="77777777" w:rsidR="00A56A3E" w:rsidRDefault="00A56A3E" w:rsidP="00A56A3E">
            <w:pPr>
              <w:pStyle w:val="Tabletext"/>
            </w:pPr>
          </w:p>
          <w:p w14:paraId="79011801" w14:textId="5D38BFCE" w:rsidR="00A56A3E" w:rsidRDefault="00A56A3E" w:rsidP="00A56A3E">
            <w:pPr>
              <w:pStyle w:val="Tabletext"/>
            </w:pPr>
            <w:r>
              <w:t>Dave Carney</w:t>
            </w:r>
          </w:p>
        </w:tc>
        <w:tc>
          <w:tcPr>
            <w:tcW w:w="1260" w:type="dxa"/>
          </w:tcPr>
          <w:p w14:paraId="6C83227B" w14:textId="77777777" w:rsidR="00A56A3E" w:rsidRDefault="00A56A3E" w:rsidP="00A56A3E">
            <w:pPr>
              <w:pStyle w:val="Tabletext"/>
              <w:rPr>
                <w:bCs/>
              </w:rPr>
            </w:pPr>
          </w:p>
          <w:p w14:paraId="7DCEBA1F" w14:textId="77777777" w:rsidR="00A56A3E" w:rsidRDefault="00A56A3E" w:rsidP="00A56A3E">
            <w:pPr>
              <w:pStyle w:val="Tabletext"/>
              <w:rPr>
                <w:bCs/>
              </w:rPr>
            </w:pPr>
          </w:p>
          <w:p w14:paraId="7EC737C3" w14:textId="77777777" w:rsidR="00A56A3E" w:rsidRDefault="00A56A3E" w:rsidP="00A56A3E">
            <w:pPr>
              <w:pStyle w:val="Tabletext"/>
              <w:rPr>
                <w:bCs/>
              </w:rPr>
            </w:pPr>
          </w:p>
          <w:p w14:paraId="3A02E622" w14:textId="3BB32176" w:rsidR="00A56A3E" w:rsidRDefault="00A56A3E" w:rsidP="00A56A3E">
            <w:pPr>
              <w:pStyle w:val="Tabletext"/>
              <w:rPr>
                <w:bCs/>
              </w:rPr>
            </w:pPr>
            <w:r>
              <w:rPr>
                <w:bCs/>
              </w:rPr>
              <w:t>01/01/2021</w:t>
            </w:r>
          </w:p>
        </w:tc>
        <w:tc>
          <w:tcPr>
            <w:tcW w:w="1440" w:type="dxa"/>
            <w:tcBorders>
              <w:right w:val="single" w:sz="4" w:space="0" w:color="000080"/>
            </w:tcBorders>
          </w:tcPr>
          <w:p w14:paraId="62177BD0" w14:textId="77777777" w:rsidR="00A56A3E" w:rsidRDefault="00A56A3E" w:rsidP="00A56A3E">
            <w:pPr>
              <w:pStyle w:val="Tabletext"/>
            </w:pPr>
          </w:p>
          <w:p w14:paraId="39F5D37F" w14:textId="77777777" w:rsidR="00A56A3E" w:rsidRDefault="00A56A3E" w:rsidP="00A56A3E">
            <w:pPr>
              <w:pStyle w:val="Tabletext"/>
            </w:pPr>
          </w:p>
          <w:p w14:paraId="26BF8F6C" w14:textId="77777777" w:rsidR="00A56A3E" w:rsidRDefault="00A56A3E" w:rsidP="00A56A3E">
            <w:pPr>
              <w:pStyle w:val="Tabletext"/>
            </w:pPr>
          </w:p>
          <w:p w14:paraId="1C43854A" w14:textId="1DEDE55F" w:rsidR="00A56A3E" w:rsidRDefault="00A56A3E" w:rsidP="00A56A3E">
            <w:pPr>
              <w:pStyle w:val="Tabletext"/>
            </w:pPr>
            <w:r>
              <w:t>06/31/2021</w:t>
            </w:r>
          </w:p>
        </w:tc>
      </w:tr>
    </w:tbl>
    <w:p w14:paraId="1FFAC945" w14:textId="77777777" w:rsidR="000C552E" w:rsidRDefault="000C552E" w:rsidP="00707C30">
      <w:pPr>
        <w:pStyle w:val="BodyText"/>
      </w:pPr>
    </w:p>
    <w:p w14:paraId="3801B120" w14:textId="6A711A05" w:rsidR="00613A96" w:rsidRDefault="000C552E" w:rsidP="00707C30">
      <w:pPr>
        <w:pStyle w:val="BodyText"/>
        <w:rPr>
          <w:b/>
          <w:sz w:val="20"/>
          <w:szCs w:val="20"/>
        </w:rPr>
      </w:pPr>
      <w:r>
        <w:t>**</w:t>
      </w:r>
      <w:r w:rsidR="00707C30" w:rsidRPr="000C552E">
        <w:rPr>
          <w:b/>
          <w:sz w:val="20"/>
          <w:szCs w:val="20"/>
        </w:rPr>
        <w:t xml:space="preserve">This IP has </w:t>
      </w:r>
      <w:r w:rsidR="00B36C99" w:rsidRPr="000C552E">
        <w:rPr>
          <w:b/>
          <w:sz w:val="20"/>
          <w:szCs w:val="20"/>
        </w:rPr>
        <w:t>been developed specifically for the Bluegrass Healthcare Coalition</w:t>
      </w:r>
      <w:r w:rsidR="00707C30" w:rsidRPr="000C552E">
        <w:rPr>
          <w:b/>
          <w:sz w:val="20"/>
          <w:szCs w:val="20"/>
        </w:rPr>
        <w:t xml:space="preserve"> as a result of </w:t>
      </w:r>
      <w:r w:rsidR="00B36C99" w:rsidRPr="000C552E">
        <w:rPr>
          <w:b/>
          <w:sz w:val="20"/>
          <w:szCs w:val="20"/>
        </w:rPr>
        <w:t xml:space="preserve">Earth Ex 2020 </w:t>
      </w:r>
      <w:r w:rsidR="004D791A" w:rsidRPr="000C552E">
        <w:rPr>
          <w:b/>
          <w:sz w:val="20"/>
          <w:szCs w:val="20"/>
        </w:rPr>
        <w:t>that occurred</w:t>
      </w:r>
      <w:r w:rsidR="00707C30" w:rsidRPr="000C552E">
        <w:rPr>
          <w:b/>
          <w:sz w:val="20"/>
          <w:szCs w:val="20"/>
        </w:rPr>
        <w:t xml:space="preserve"> on </w:t>
      </w:r>
      <w:r w:rsidR="00B36C99" w:rsidRPr="000C552E">
        <w:rPr>
          <w:b/>
          <w:sz w:val="20"/>
          <w:szCs w:val="20"/>
        </w:rPr>
        <w:t>September 24</w:t>
      </w:r>
      <w:r w:rsidR="00B36C99" w:rsidRPr="000C552E">
        <w:rPr>
          <w:b/>
          <w:sz w:val="20"/>
          <w:szCs w:val="20"/>
          <w:vertAlign w:val="superscript"/>
        </w:rPr>
        <w:t>th</w:t>
      </w:r>
      <w:r w:rsidR="00B36C99" w:rsidRPr="000C552E">
        <w:rPr>
          <w:b/>
          <w:sz w:val="20"/>
          <w:szCs w:val="20"/>
        </w:rPr>
        <w:t>, 2020</w:t>
      </w:r>
      <w:r w:rsidR="004D791A" w:rsidRPr="000C552E">
        <w:rPr>
          <w:b/>
          <w:sz w:val="20"/>
          <w:szCs w:val="20"/>
        </w:rPr>
        <w:t>.</w:t>
      </w:r>
    </w:p>
    <w:p w14:paraId="100030C0" w14:textId="7AEEEB1A" w:rsidR="00060EEE" w:rsidRDefault="00060EEE" w:rsidP="00707C30">
      <w:pPr>
        <w:pStyle w:val="BodyText"/>
        <w:rPr>
          <w:b/>
          <w:sz w:val="20"/>
          <w:szCs w:val="20"/>
        </w:rPr>
      </w:pPr>
    </w:p>
    <w:p w14:paraId="3ABE45FF" w14:textId="77777777" w:rsidR="00060EEE" w:rsidRPr="00B51EF7" w:rsidRDefault="00060EEE" w:rsidP="00707C30">
      <w:pPr>
        <w:pStyle w:val="BodyText"/>
        <w:sectPr w:rsidR="00060EEE" w:rsidRPr="00B51EF7" w:rsidSect="00A56ED7">
          <w:headerReference w:type="default" r:id="rId17"/>
          <w:footerReference w:type="default" r:id="rId18"/>
          <w:pgSz w:w="15840" w:h="12240" w:orient="landscape" w:code="1"/>
          <w:pgMar w:top="1440" w:right="1440" w:bottom="1440" w:left="1440" w:header="720" w:footer="720" w:gutter="0"/>
          <w:pgNumType w:start="1" w:chapStyle="1"/>
          <w:cols w:space="720"/>
          <w:docGrid w:linePitch="360"/>
        </w:sectPr>
      </w:pPr>
    </w:p>
    <w:p w14:paraId="3801B146" w14:textId="35E6DCEB" w:rsidR="002A70AA" w:rsidRDefault="002067A6" w:rsidP="002067A6">
      <w:pPr>
        <w:pStyle w:val="Heading1"/>
      </w:pPr>
      <w:r>
        <w:lastRenderedPageBreak/>
        <w:t>A</w:t>
      </w:r>
      <w:r w:rsidRPr="002067A6">
        <w:rPr>
          <w:smallCaps w:val="0"/>
        </w:rPr>
        <w:t>ppendix</w:t>
      </w:r>
      <w:r>
        <w:t xml:space="preserve"> B:   Acronym List</w:t>
      </w:r>
    </w:p>
    <w:tbl>
      <w:tblPr>
        <w:tblStyle w:val="TableGrid"/>
        <w:tblW w:w="0" w:type="auto"/>
        <w:tblLook w:val="04A0" w:firstRow="1" w:lastRow="0" w:firstColumn="1" w:lastColumn="0" w:noHBand="0" w:noVBand="1"/>
      </w:tblPr>
      <w:tblGrid>
        <w:gridCol w:w="3235"/>
        <w:gridCol w:w="6115"/>
      </w:tblGrid>
      <w:tr w:rsidR="002067A6" w14:paraId="62F4B346" w14:textId="77777777" w:rsidTr="00942F2E">
        <w:trPr>
          <w:trHeight w:val="576"/>
        </w:trPr>
        <w:tc>
          <w:tcPr>
            <w:tcW w:w="3235" w:type="dxa"/>
            <w:shd w:val="clear" w:color="auto" w:fill="17365D" w:themeFill="text2" w:themeFillShade="BF"/>
            <w:vAlign w:val="center"/>
          </w:tcPr>
          <w:p w14:paraId="1BF389F9" w14:textId="230C8BE0" w:rsidR="002067A6" w:rsidRPr="00942F2E" w:rsidRDefault="00942F2E" w:rsidP="00942F2E">
            <w:pPr>
              <w:pStyle w:val="BodyText"/>
              <w:jc w:val="center"/>
              <w:rPr>
                <w:rFonts w:ascii="Arial" w:hAnsi="Arial" w:cs="Arial"/>
                <w:b/>
                <w:color w:val="FFFFFF" w:themeColor="background1"/>
                <w:sz w:val="20"/>
                <w:szCs w:val="20"/>
              </w:rPr>
            </w:pPr>
            <w:r w:rsidRPr="00942F2E">
              <w:rPr>
                <w:rFonts w:ascii="Arial" w:hAnsi="Arial" w:cs="Arial"/>
                <w:b/>
                <w:color w:val="FFFFFF" w:themeColor="background1"/>
                <w:sz w:val="20"/>
                <w:szCs w:val="20"/>
              </w:rPr>
              <w:t>Acronym/Abbreviation</w:t>
            </w:r>
          </w:p>
        </w:tc>
        <w:tc>
          <w:tcPr>
            <w:tcW w:w="6115" w:type="dxa"/>
            <w:shd w:val="clear" w:color="auto" w:fill="17365D" w:themeFill="text2" w:themeFillShade="BF"/>
            <w:vAlign w:val="center"/>
          </w:tcPr>
          <w:p w14:paraId="6900E8ED" w14:textId="5847135A" w:rsidR="002067A6" w:rsidRPr="00942F2E" w:rsidRDefault="00942F2E" w:rsidP="00942F2E">
            <w:pPr>
              <w:pStyle w:val="BodyText"/>
              <w:jc w:val="center"/>
              <w:rPr>
                <w:rFonts w:ascii="Arial" w:hAnsi="Arial" w:cs="Arial"/>
                <w:b/>
                <w:color w:val="FFFFFF" w:themeColor="background1"/>
                <w:sz w:val="20"/>
                <w:szCs w:val="20"/>
              </w:rPr>
            </w:pPr>
            <w:r w:rsidRPr="00942F2E">
              <w:rPr>
                <w:rFonts w:ascii="Arial" w:hAnsi="Arial" w:cs="Arial"/>
                <w:b/>
                <w:color w:val="FFFFFF" w:themeColor="background1"/>
                <w:sz w:val="20"/>
                <w:szCs w:val="20"/>
              </w:rPr>
              <w:t>Definition</w:t>
            </w:r>
          </w:p>
        </w:tc>
      </w:tr>
      <w:tr w:rsidR="002067A6" w14:paraId="3677BD62" w14:textId="77777777" w:rsidTr="00942F2E">
        <w:trPr>
          <w:trHeight w:val="20"/>
        </w:trPr>
        <w:tc>
          <w:tcPr>
            <w:tcW w:w="3235" w:type="dxa"/>
            <w:vAlign w:val="center"/>
          </w:tcPr>
          <w:p w14:paraId="608E62D6" w14:textId="75CA16C9" w:rsidR="002067A6" w:rsidRPr="00942F2E" w:rsidRDefault="00942F2E" w:rsidP="00942F2E">
            <w:pPr>
              <w:pStyle w:val="BodyText"/>
              <w:rPr>
                <w:rFonts w:ascii="Arial" w:hAnsi="Arial" w:cs="Arial"/>
                <w:sz w:val="20"/>
                <w:szCs w:val="20"/>
              </w:rPr>
            </w:pPr>
            <w:r w:rsidRPr="00942F2E">
              <w:rPr>
                <w:rFonts w:ascii="Arial" w:hAnsi="Arial" w:cs="Arial"/>
                <w:sz w:val="20"/>
                <w:szCs w:val="20"/>
              </w:rPr>
              <w:t>AAR</w:t>
            </w:r>
          </w:p>
        </w:tc>
        <w:tc>
          <w:tcPr>
            <w:tcW w:w="6115" w:type="dxa"/>
            <w:vAlign w:val="center"/>
          </w:tcPr>
          <w:p w14:paraId="5172A6D9" w14:textId="71922AA9" w:rsidR="002067A6" w:rsidRPr="00942F2E" w:rsidRDefault="00942F2E" w:rsidP="00942F2E">
            <w:pPr>
              <w:pStyle w:val="BodyText"/>
              <w:rPr>
                <w:rFonts w:ascii="Arial" w:hAnsi="Arial" w:cs="Arial"/>
                <w:sz w:val="20"/>
                <w:szCs w:val="20"/>
              </w:rPr>
            </w:pPr>
            <w:r w:rsidRPr="00942F2E">
              <w:rPr>
                <w:rFonts w:ascii="Arial" w:hAnsi="Arial" w:cs="Arial"/>
                <w:sz w:val="20"/>
                <w:szCs w:val="20"/>
              </w:rPr>
              <w:t>After Action Report</w:t>
            </w:r>
          </w:p>
        </w:tc>
      </w:tr>
      <w:tr w:rsidR="002067A6" w14:paraId="26A7D82E" w14:textId="77777777" w:rsidTr="00942F2E">
        <w:trPr>
          <w:trHeight w:val="20"/>
        </w:trPr>
        <w:tc>
          <w:tcPr>
            <w:tcW w:w="3235" w:type="dxa"/>
            <w:vAlign w:val="center"/>
          </w:tcPr>
          <w:p w14:paraId="2AA91751" w14:textId="1A6F03DC" w:rsidR="002067A6" w:rsidRPr="00942F2E" w:rsidRDefault="00377B03" w:rsidP="00942F2E">
            <w:pPr>
              <w:pStyle w:val="BodyText"/>
              <w:rPr>
                <w:rFonts w:ascii="Arial" w:hAnsi="Arial" w:cs="Arial"/>
                <w:sz w:val="20"/>
                <w:szCs w:val="20"/>
              </w:rPr>
            </w:pPr>
            <w:r>
              <w:rPr>
                <w:rFonts w:ascii="Arial" w:hAnsi="Arial" w:cs="Arial"/>
                <w:sz w:val="20"/>
                <w:szCs w:val="20"/>
              </w:rPr>
              <w:t>RRCC</w:t>
            </w:r>
          </w:p>
        </w:tc>
        <w:tc>
          <w:tcPr>
            <w:tcW w:w="6115" w:type="dxa"/>
            <w:vAlign w:val="center"/>
          </w:tcPr>
          <w:p w14:paraId="33F0598A" w14:textId="77E7ED85" w:rsidR="00942F2E" w:rsidRPr="00942F2E" w:rsidRDefault="00377B03" w:rsidP="00942F2E">
            <w:pPr>
              <w:pStyle w:val="BodyText"/>
              <w:rPr>
                <w:rFonts w:ascii="Arial" w:hAnsi="Arial" w:cs="Arial"/>
                <w:sz w:val="20"/>
                <w:szCs w:val="20"/>
              </w:rPr>
            </w:pPr>
            <w:r>
              <w:rPr>
                <w:rFonts w:ascii="Arial" w:hAnsi="Arial" w:cs="Arial"/>
                <w:sz w:val="20"/>
                <w:szCs w:val="20"/>
              </w:rPr>
              <w:t>Regional Response Coordination Center</w:t>
            </w:r>
          </w:p>
        </w:tc>
      </w:tr>
      <w:tr w:rsidR="00942F2E" w14:paraId="3DDBC30C" w14:textId="77777777" w:rsidTr="00942F2E">
        <w:trPr>
          <w:trHeight w:val="20"/>
        </w:trPr>
        <w:tc>
          <w:tcPr>
            <w:tcW w:w="3235" w:type="dxa"/>
            <w:vAlign w:val="center"/>
          </w:tcPr>
          <w:p w14:paraId="2C7B0CBB" w14:textId="20A8E4FD" w:rsidR="00942F2E" w:rsidRDefault="00377B03" w:rsidP="00942F2E">
            <w:pPr>
              <w:pStyle w:val="BodyText"/>
              <w:rPr>
                <w:rFonts w:ascii="Arial" w:hAnsi="Arial" w:cs="Arial"/>
                <w:sz w:val="20"/>
                <w:szCs w:val="20"/>
              </w:rPr>
            </w:pPr>
            <w:r>
              <w:rPr>
                <w:rFonts w:ascii="Arial" w:hAnsi="Arial" w:cs="Arial"/>
                <w:sz w:val="20"/>
                <w:szCs w:val="20"/>
              </w:rPr>
              <w:t>EOC</w:t>
            </w:r>
          </w:p>
        </w:tc>
        <w:tc>
          <w:tcPr>
            <w:tcW w:w="6115" w:type="dxa"/>
            <w:vAlign w:val="center"/>
          </w:tcPr>
          <w:p w14:paraId="07A41C3B" w14:textId="05CD80E8" w:rsidR="00942F2E" w:rsidRDefault="00377B03" w:rsidP="00942F2E">
            <w:pPr>
              <w:pStyle w:val="BodyText"/>
              <w:rPr>
                <w:rFonts w:ascii="Arial" w:hAnsi="Arial" w:cs="Arial"/>
                <w:sz w:val="20"/>
                <w:szCs w:val="20"/>
              </w:rPr>
            </w:pPr>
            <w:r>
              <w:rPr>
                <w:rFonts w:ascii="Arial" w:hAnsi="Arial" w:cs="Arial"/>
                <w:sz w:val="20"/>
                <w:szCs w:val="20"/>
              </w:rPr>
              <w:t>Emergency Operations Center</w:t>
            </w:r>
          </w:p>
        </w:tc>
      </w:tr>
      <w:tr w:rsidR="00942F2E" w14:paraId="0EC88AA2" w14:textId="77777777" w:rsidTr="00942F2E">
        <w:trPr>
          <w:trHeight w:val="20"/>
        </w:trPr>
        <w:tc>
          <w:tcPr>
            <w:tcW w:w="3235" w:type="dxa"/>
            <w:vAlign w:val="center"/>
          </w:tcPr>
          <w:p w14:paraId="152F9672" w14:textId="4CA6DD6A" w:rsidR="00942F2E" w:rsidRDefault="00377B03" w:rsidP="00942F2E">
            <w:pPr>
              <w:pStyle w:val="BodyText"/>
              <w:rPr>
                <w:rFonts w:ascii="Arial" w:hAnsi="Arial" w:cs="Arial"/>
                <w:sz w:val="20"/>
                <w:szCs w:val="20"/>
              </w:rPr>
            </w:pPr>
            <w:r>
              <w:rPr>
                <w:rFonts w:ascii="Arial" w:hAnsi="Arial" w:cs="Arial"/>
                <w:sz w:val="20"/>
                <w:szCs w:val="20"/>
              </w:rPr>
              <w:t>SHOC</w:t>
            </w:r>
          </w:p>
        </w:tc>
        <w:tc>
          <w:tcPr>
            <w:tcW w:w="6115" w:type="dxa"/>
            <w:vAlign w:val="center"/>
          </w:tcPr>
          <w:p w14:paraId="5DAB46D0" w14:textId="4B6B5329" w:rsidR="00942F2E" w:rsidRDefault="00377B03" w:rsidP="00942F2E">
            <w:pPr>
              <w:pStyle w:val="BodyText"/>
              <w:rPr>
                <w:rFonts w:ascii="Arial" w:hAnsi="Arial" w:cs="Arial"/>
                <w:sz w:val="20"/>
                <w:szCs w:val="20"/>
              </w:rPr>
            </w:pPr>
            <w:r>
              <w:rPr>
                <w:rFonts w:ascii="Arial" w:hAnsi="Arial" w:cs="Arial"/>
                <w:sz w:val="20"/>
                <w:szCs w:val="20"/>
              </w:rPr>
              <w:t>State Health Operations Center</w:t>
            </w:r>
          </w:p>
        </w:tc>
      </w:tr>
      <w:tr w:rsidR="002067A6" w14:paraId="363E077D" w14:textId="77777777" w:rsidTr="00942F2E">
        <w:trPr>
          <w:trHeight w:val="20"/>
        </w:trPr>
        <w:tc>
          <w:tcPr>
            <w:tcW w:w="3235" w:type="dxa"/>
            <w:vAlign w:val="center"/>
          </w:tcPr>
          <w:p w14:paraId="101D1669" w14:textId="186A690A" w:rsidR="002067A6" w:rsidRPr="00942F2E" w:rsidRDefault="00A56A3E" w:rsidP="00942F2E">
            <w:pPr>
              <w:pStyle w:val="BodyText"/>
              <w:rPr>
                <w:rFonts w:ascii="Arial" w:hAnsi="Arial" w:cs="Arial"/>
                <w:sz w:val="20"/>
                <w:szCs w:val="20"/>
              </w:rPr>
            </w:pPr>
            <w:r>
              <w:rPr>
                <w:rFonts w:ascii="Arial" w:hAnsi="Arial" w:cs="Arial"/>
                <w:sz w:val="20"/>
                <w:szCs w:val="20"/>
              </w:rPr>
              <w:t>BGHCC</w:t>
            </w:r>
          </w:p>
        </w:tc>
        <w:tc>
          <w:tcPr>
            <w:tcW w:w="6115" w:type="dxa"/>
            <w:vAlign w:val="center"/>
          </w:tcPr>
          <w:p w14:paraId="46F16860" w14:textId="63FD7D2A" w:rsidR="002067A6" w:rsidRPr="00942F2E" w:rsidRDefault="00A56A3E" w:rsidP="00942F2E">
            <w:pPr>
              <w:pStyle w:val="BodyText"/>
              <w:rPr>
                <w:rFonts w:ascii="Arial" w:hAnsi="Arial" w:cs="Arial"/>
                <w:sz w:val="20"/>
                <w:szCs w:val="20"/>
              </w:rPr>
            </w:pPr>
            <w:r>
              <w:rPr>
                <w:rFonts w:ascii="Arial" w:hAnsi="Arial" w:cs="Arial"/>
                <w:sz w:val="20"/>
                <w:szCs w:val="20"/>
              </w:rPr>
              <w:t>Bluegrass Healthcare Coalition</w:t>
            </w:r>
          </w:p>
        </w:tc>
      </w:tr>
    </w:tbl>
    <w:p w14:paraId="578E0243" w14:textId="49251937" w:rsidR="002067A6" w:rsidRDefault="002067A6" w:rsidP="002067A6">
      <w:pPr>
        <w:pStyle w:val="BodyText"/>
      </w:pPr>
    </w:p>
    <w:p w14:paraId="2F452361" w14:textId="13B7BD49" w:rsidR="00916ACA" w:rsidRDefault="00916ACA" w:rsidP="002067A6">
      <w:pPr>
        <w:pStyle w:val="BodyText"/>
      </w:pPr>
    </w:p>
    <w:p w14:paraId="0AE5553E" w14:textId="554F0E8C" w:rsidR="00916ACA" w:rsidRDefault="00916ACA" w:rsidP="002067A6">
      <w:pPr>
        <w:pStyle w:val="BodyText"/>
      </w:pPr>
    </w:p>
    <w:p w14:paraId="54EDF842" w14:textId="5EF0FEC9" w:rsidR="00916ACA" w:rsidRDefault="00916ACA" w:rsidP="002067A6">
      <w:pPr>
        <w:pStyle w:val="BodyText"/>
      </w:pPr>
    </w:p>
    <w:p w14:paraId="5E6B3FAE" w14:textId="3ABB96A6" w:rsidR="00916ACA" w:rsidRDefault="00916ACA" w:rsidP="002067A6">
      <w:pPr>
        <w:pStyle w:val="BodyText"/>
      </w:pPr>
    </w:p>
    <w:p w14:paraId="498F2D6E" w14:textId="4134BBA3" w:rsidR="00916ACA" w:rsidRDefault="00916ACA" w:rsidP="002067A6">
      <w:pPr>
        <w:pStyle w:val="BodyText"/>
      </w:pPr>
    </w:p>
    <w:p w14:paraId="1F0F3DC6" w14:textId="36CF1333" w:rsidR="00916ACA" w:rsidRDefault="00916ACA" w:rsidP="002067A6">
      <w:pPr>
        <w:pStyle w:val="BodyText"/>
      </w:pPr>
    </w:p>
    <w:p w14:paraId="4120696A" w14:textId="7C40F1F9" w:rsidR="00916ACA" w:rsidRDefault="00916ACA" w:rsidP="002067A6">
      <w:pPr>
        <w:pStyle w:val="BodyText"/>
      </w:pPr>
    </w:p>
    <w:p w14:paraId="628FD6C4" w14:textId="5715F24F" w:rsidR="00916ACA" w:rsidRDefault="00916ACA" w:rsidP="002067A6">
      <w:pPr>
        <w:pStyle w:val="BodyText"/>
      </w:pPr>
    </w:p>
    <w:p w14:paraId="7FFD9C55" w14:textId="6EAA0F00" w:rsidR="00916ACA" w:rsidRDefault="00916ACA" w:rsidP="002067A6">
      <w:pPr>
        <w:pStyle w:val="BodyText"/>
      </w:pPr>
    </w:p>
    <w:p w14:paraId="0D0E5EC0" w14:textId="5779D71C" w:rsidR="00916ACA" w:rsidRDefault="00916ACA" w:rsidP="002067A6">
      <w:pPr>
        <w:pStyle w:val="BodyText"/>
      </w:pPr>
    </w:p>
    <w:p w14:paraId="783E2057" w14:textId="1451E095" w:rsidR="00916ACA" w:rsidRDefault="00916ACA" w:rsidP="002067A6">
      <w:pPr>
        <w:pStyle w:val="BodyText"/>
      </w:pPr>
    </w:p>
    <w:p w14:paraId="24217CBD" w14:textId="12B68EC2" w:rsidR="00916ACA" w:rsidRDefault="00916ACA" w:rsidP="002067A6">
      <w:pPr>
        <w:pStyle w:val="BodyText"/>
      </w:pPr>
    </w:p>
    <w:p w14:paraId="008F6EFD" w14:textId="66B996EE" w:rsidR="00916ACA" w:rsidRDefault="00916ACA" w:rsidP="002067A6">
      <w:pPr>
        <w:pStyle w:val="BodyText"/>
      </w:pPr>
    </w:p>
    <w:p w14:paraId="78E01DCC" w14:textId="081ADFD4" w:rsidR="00916ACA" w:rsidRDefault="00916ACA" w:rsidP="002067A6">
      <w:pPr>
        <w:pStyle w:val="BodyText"/>
      </w:pPr>
    </w:p>
    <w:p w14:paraId="0A097BA5" w14:textId="141CDCB4" w:rsidR="00916ACA" w:rsidRDefault="00916ACA" w:rsidP="002067A6">
      <w:pPr>
        <w:pStyle w:val="BodyText"/>
      </w:pPr>
    </w:p>
    <w:p w14:paraId="324B9FD6" w14:textId="05473C16" w:rsidR="00916ACA" w:rsidRDefault="00916ACA" w:rsidP="002067A6">
      <w:pPr>
        <w:pStyle w:val="BodyText"/>
      </w:pPr>
    </w:p>
    <w:p w14:paraId="18D8DC8E" w14:textId="3C61BCB3" w:rsidR="00916ACA" w:rsidRDefault="00916ACA" w:rsidP="002067A6">
      <w:pPr>
        <w:pStyle w:val="BodyText"/>
      </w:pPr>
    </w:p>
    <w:p w14:paraId="0C90FF77" w14:textId="77777777" w:rsidR="00916ACA" w:rsidRDefault="00916ACA" w:rsidP="002067A6">
      <w:pPr>
        <w:pStyle w:val="BodyText"/>
      </w:pPr>
    </w:p>
    <w:p w14:paraId="7EB921EA" w14:textId="632D7BC4" w:rsidR="00916ACA" w:rsidRDefault="00916ACA" w:rsidP="002067A6">
      <w:pPr>
        <w:pStyle w:val="BodyText"/>
      </w:pPr>
    </w:p>
    <w:p w14:paraId="23001794" w14:textId="48746350" w:rsidR="00916ACA" w:rsidRDefault="00916ACA" w:rsidP="00916ACA">
      <w:pPr>
        <w:pStyle w:val="Heading1"/>
      </w:pPr>
      <w:r>
        <w:lastRenderedPageBreak/>
        <w:t>A</w:t>
      </w:r>
      <w:r w:rsidRPr="002067A6">
        <w:rPr>
          <w:smallCaps w:val="0"/>
        </w:rPr>
        <w:t>ppendix</w:t>
      </w:r>
      <w:r w:rsidR="00120026">
        <w:t xml:space="preserve"> C:   Region 15 Regional Response Coordination </w:t>
      </w:r>
      <w:r>
        <w:t xml:space="preserve">Team </w:t>
      </w:r>
      <w:r w:rsidR="00120026">
        <w:t>Members</w:t>
      </w:r>
      <w:bookmarkStart w:id="0" w:name="_GoBack"/>
      <w:bookmarkEnd w:id="0"/>
    </w:p>
    <w:tbl>
      <w:tblPr>
        <w:tblStyle w:val="TableGrid"/>
        <w:tblW w:w="0" w:type="auto"/>
        <w:tblLook w:val="04A0" w:firstRow="1" w:lastRow="0" w:firstColumn="1" w:lastColumn="0" w:noHBand="0" w:noVBand="1"/>
      </w:tblPr>
      <w:tblGrid>
        <w:gridCol w:w="3235"/>
        <w:gridCol w:w="6115"/>
      </w:tblGrid>
      <w:tr w:rsidR="00916ACA" w14:paraId="53605F7C" w14:textId="77777777" w:rsidTr="0028069A">
        <w:trPr>
          <w:trHeight w:val="576"/>
        </w:trPr>
        <w:tc>
          <w:tcPr>
            <w:tcW w:w="3235" w:type="dxa"/>
            <w:shd w:val="clear" w:color="auto" w:fill="17365D" w:themeFill="text2" w:themeFillShade="BF"/>
            <w:vAlign w:val="center"/>
          </w:tcPr>
          <w:p w14:paraId="559550D8" w14:textId="562582B1" w:rsidR="00916ACA" w:rsidRPr="00942F2E" w:rsidRDefault="00916ACA" w:rsidP="0028069A">
            <w:pPr>
              <w:pStyle w:val="BodyText"/>
              <w:jc w:val="center"/>
              <w:rPr>
                <w:rFonts w:ascii="Arial" w:hAnsi="Arial" w:cs="Arial"/>
                <w:b/>
                <w:color w:val="FFFFFF" w:themeColor="background1"/>
                <w:sz w:val="20"/>
                <w:szCs w:val="20"/>
              </w:rPr>
            </w:pPr>
            <w:r>
              <w:rPr>
                <w:rFonts w:ascii="Arial" w:hAnsi="Arial" w:cs="Arial"/>
                <w:b/>
                <w:color w:val="FFFFFF" w:themeColor="background1"/>
                <w:sz w:val="20"/>
                <w:szCs w:val="20"/>
              </w:rPr>
              <w:t>Name</w:t>
            </w:r>
          </w:p>
        </w:tc>
        <w:tc>
          <w:tcPr>
            <w:tcW w:w="6115" w:type="dxa"/>
            <w:shd w:val="clear" w:color="auto" w:fill="17365D" w:themeFill="text2" w:themeFillShade="BF"/>
            <w:vAlign w:val="center"/>
          </w:tcPr>
          <w:p w14:paraId="5C4B64A1" w14:textId="1FFCA0A9" w:rsidR="00916ACA" w:rsidRPr="00942F2E" w:rsidRDefault="00916ACA" w:rsidP="0028069A">
            <w:pPr>
              <w:pStyle w:val="BodyText"/>
              <w:jc w:val="center"/>
              <w:rPr>
                <w:rFonts w:ascii="Arial" w:hAnsi="Arial" w:cs="Arial"/>
                <w:b/>
                <w:color w:val="FFFFFF" w:themeColor="background1"/>
                <w:sz w:val="20"/>
                <w:szCs w:val="20"/>
              </w:rPr>
            </w:pPr>
            <w:r>
              <w:rPr>
                <w:rFonts w:ascii="Arial" w:hAnsi="Arial" w:cs="Arial"/>
                <w:b/>
                <w:color w:val="FFFFFF" w:themeColor="background1"/>
                <w:sz w:val="20"/>
                <w:szCs w:val="20"/>
              </w:rPr>
              <w:t>Agency</w:t>
            </w:r>
          </w:p>
        </w:tc>
      </w:tr>
      <w:tr w:rsidR="00916ACA" w14:paraId="26C021AD" w14:textId="77777777" w:rsidTr="0028069A">
        <w:trPr>
          <w:trHeight w:val="20"/>
        </w:trPr>
        <w:tc>
          <w:tcPr>
            <w:tcW w:w="3235" w:type="dxa"/>
            <w:vAlign w:val="center"/>
          </w:tcPr>
          <w:p w14:paraId="333C0093" w14:textId="5718DCE9" w:rsidR="00916ACA" w:rsidRPr="00A56A3E" w:rsidRDefault="00A56A3E" w:rsidP="0028069A">
            <w:pPr>
              <w:pStyle w:val="BodyText"/>
              <w:rPr>
                <w:b/>
                <w:sz w:val="20"/>
                <w:szCs w:val="20"/>
              </w:rPr>
            </w:pPr>
            <w:r>
              <w:rPr>
                <w:b/>
                <w:sz w:val="20"/>
                <w:szCs w:val="20"/>
              </w:rPr>
              <w:t>Dave Carney – Regional Response Coordinator</w:t>
            </w:r>
          </w:p>
        </w:tc>
        <w:tc>
          <w:tcPr>
            <w:tcW w:w="6115" w:type="dxa"/>
            <w:vAlign w:val="center"/>
          </w:tcPr>
          <w:p w14:paraId="1FEEC9CB" w14:textId="4472977A" w:rsidR="00916ACA" w:rsidRPr="0057220F" w:rsidRDefault="00A56A3E" w:rsidP="0028069A">
            <w:pPr>
              <w:pStyle w:val="BodyText"/>
              <w:rPr>
                <w:b/>
                <w:i/>
                <w:sz w:val="20"/>
                <w:szCs w:val="20"/>
              </w:rPr>
            </w:pPr>
            <w:r>
              <w:rPr>
                <w:b/>
                <w:i/>
                <w:sz w:val="20"/>
                <w:szCs w:val="20"/>
              </w:rPr>
              <w:t xml:space="preserve">Kentucky </w:t>
            </w:r>
            <w:proofErr w:type="spellStart"/>
            <w:r>
              <w:rPr>
                <w:b/>
                <w:i/>
                <w:sz w:val="20"/>
                <w:szCs w:val="20"/>
              </w:rPr>
              <w:t>Dept</w:t>
            </w:r>
            <w:proofErr w:type="spellEnd"/>
            <w:r>
              <w:rPr>
                <w:b/>
                <w:i/>
                <w:sz w:val="20"/>
                <w:szCs w:val="20"/>
              </w:rPr>
              <w:t xml:space="preserve"> for Public Health </w:t>
            </w:r>
          </w:p>
        </w:tc>
      </w:tr>
      <w:tr w:rsidR="00916ACA" w14:paraId="4B12D1D2" w14:textId="77777777" w:rsidTr="0028069A">
        <w:trPr>
          <w:trHeight w:val="20"/>
        </w:trPr>
        <w:tc>
          <w:tcPr>
            <w:tcW w:w="3235" w:type="dxa"/>
            <w:vAlign w:val="center"/>
          </w:tcPr>
          <w:p w14:paraId="33D8B4C7" w14:textId="4E1B0ED1" w:rsidR="00916ACA" w:rsidRPr="00A56A3E" w:rsidRDefault="00A56A3E" w:rsidP="0028069A">
            <w:pPr>
              <w:pStyle w:val="BodyText"/>
              <w:rPr>
                <w:b/>
                <w:sz w:val="20"/>
                <w:szCs w:val="20"/>
              </w:rPr>
            </w:pPr>
            <w:r>
              <w:rPr>
                <w:b/>
                <w:sz w:val="20"/>
                <w:szCs w:val="20"/>
              </w:rPr>
              <w:t>Rebecca Hardin – Region 15W – Regional Preparedness Coordinator</w:t>
            </w:r>
          </w:p>
        </w:tc>
        <w:tc>
          <w:tcPr>
            <w:tcW w:w="6115" w:type="dxa"/>
            <w:vAlign w:val="center"/>
          </w:tcPr>
          <w:p w14:paraId="1B9C0259" w14:textId="7B4CCFEE" w:rsidR="00916ACA" w:rsidRPr="0057220F" w:rsidRDefault="00A56A3E" w:rsidP="0028069A">
            <w:pPr>
              <w:pStyle w:val="BodyText"/>
              <w:rPr>
                <w:b/>
                <w:i/>
                <w:sz w:val="20"/>
                <w:szCs w:val="20"/>
              </w:rPr>
            </w:pPr>
            <w:r>
              <w:rPr>
                <w:b/>
                <w:i/>
                <w:sz w:val="20"/>
                <w:szCs w:val="20"/>
              </w:rPr>
              <w:t xml:space="preserve">Kentucky </w:t>
            </w:r>
            <w:proofErr w:type="spellStart"/>
            <w:r>
              <w:rPr>
                <w:b/>
                <w:i/>
                <w:sz w:val="20"/>
                <w:szCs w:val="20"/>
              </w:rPr>
              <w:t>Dept</w:t>
            </w:r>
            <w:proofErr w:type="spellEnd"/>
            <w:r>
              <w:rPr>
                <w:b/>
                <w:i/>
                <w:sz w:val="20"/>
                <w:szCs w:val="20"/>
              </w:rPr>
              <w:t xml:space="preserve"> for Public Health</w:t>
            </w:r>
          </w:p>
        </w:tc>
      </w:tr>
      <w:tr w:rsidR="00916ACA" w14:paraId="76E05C8F" w14:textId="77777777" w:rsidTr="0028069A">
        <w:trPr>
          <w:trHeight w:val="20"/>
        </w:trPr>
        <w:tc>
          <w:tcPr>
            <w:tcW w:w="3235" w:type="dxa"/>
            <w:vAlign w:val="center"/>
          </w:tcPr>
          <w:p w14:paraId="2C0835B0" w14:textId="729F412D" w:rsidR="00916ACA" w:rsidRPr="00A56A3E" w:rsidRDefault="00A56A3E" w:rsidP="0028069A">
            <w:pPr>
              <w:pStyle w:val="BodyText"/>
              <w:rPr>
                <w:b/>
                <w:sz w:val="20"/>
                <w:szCs w:val="20"/>
              </w:rPr>
            </w:pPr>
            <w:r>
              <w:rPr>
                <w:b/>
                <w:sz w:val="20"/>
                <w:szCs w:val="20"/>
              </w:rPr>
              <w:t>Vicki Sanderson – Region 15E – Regional Preparedness Coordinator</w:t>
            </w:r>
          </w:p>
        </w:tc>
        <w:tc>
          <w:tcPr>
            <w:tcW w:w="6115" w:type="dxa"/>
            <w:vAlign w:val="center"/>
          </w:tcPr>
          <w:p w14:paraId="520076F4" w14:textId="1D3F6C8E" w:rsidR="00916ACA" w:rsidRPr="0057220F" w:rsidRDefault="00A56A3E" w:rsidP="0028069A">
            <w:pPr>
              <w:pStyle w:val="BodyText"/>
              <w:rPr>
                <w:b/>
                <w:i/>
                <w:sz w:val="20"/>
                <w:szCs w:val="20"/>
              </w:rPr>
            </w:pPr>
            <w:r>
              <w:rPr>
                <w:b/>
                <w:i/>
                <w:sz w:val="20"/>
                <w:szCs w:val="20"/>
              </w:rPr>
              <w:t xml:space="preserve">Kentucky </w:t>
            </w:r>
            <w:proofErr w:type="spellStart"/>
            <w:r>
              <w:rPr>
                <w:b/>
                <w:i/>
                <w:sz w:val="20"/>
                <w:szCs w:val="20"/>
              </w:rPr>
              <w:t>Dept</w:t>
            </w:r>
            <w:proofErr w:type="spellEnd"/>
            <w:r>
              <w:rPr>
                <w:b/>
                <w:i/>
                <w:sz w:val="20"/>
                <w:szCs w:val="20"/>
              </w:rPr>
              <w:t xml:space="preserve"> for Public Health</w:t>
            </w:r>
          </w:p>
        </w:tc>
      </w:tr>
      <w:tr w:rsidR="00916ACA" w14:paraId="56797416" w14:textId="77777777" w:rsidTr="0028069A">
        <w:trPr>
          <w:trHeight w:val="20"/>
        </w:trPr>
        <w:tc>
          <w:tcPr>
            <w:tcW w:w="3235" w:type="dxa"/>
            <w:vAlign w:val="center"/>
          </w:tcPr>
          <w:p w14:paraId="184BC5B3" w14:textId="4BD8E656" w:rsidR="00916ACA" w:rsidRPr="00A56A3E" w:rsidRDefault="00A56A3E" w:rsidP="0028069A">
            <w:pPr>
              <w:pStyle w:val="BodyText"/>
              <w:rPr>
                <w:b/>
                <w:sz w:val="20"/>
                <w:szCs w:val="20"/>
              </w:rPr>
            </w:pPr>
            <w:r>
              <w:rPr>
                <w:b/>
                <w:sz w:val="20"/>
                <w:szCs w:val="20"/>
              </w:rPr>
              <w:t>Kim Yazell – Regional Preparedness Coordinator Supervisor</w:t>
            </w:r>
          </w:p>
        </w:tc>
        <w:tc>
          <w:tcPr>
            <w:tcW w:w="6115" w:type="dxa"/>
            <w:vAlign w:val="center"/>
          </w:tcPr>
          <w:p w14:paraId="2DEC1F4C" w14:textId="7CEF1CFD" w:rsidR="00916ACA" w:rsidRPr="0057220F" w:rsidRDefault="00A56A3E" w:rsidP="0028069A">
            <w:pPr>
              <w:pStyle w:val="BodyText"/>
              <w:rPr>
                <w:b/>
                <w:i/>
                <w:sz w:val="20"/>
                <w:szCs w:val="20"/>
              </w:rPr>
            </w:pPr>
            <w:r>
              <w:rPr>
                <w:b/>
                <w:i/>
                <w:sz w:val="20"/>
                <w:szCs w:val="20"/>
              </w:rPr>
              <w:t xml:space="preserve">Kentucky </w:t>
            </w:r>
            <w:proofErr w:type="spellStart"/>
            <w:r>
              <w:rPr>
                <w:b/>
                <w:i/>
                <w:sz w:val="20"/>
                <w:szCs w:val="20"/>
              </w:rPr>
              <w:t>Dept</w:t>
            </w:r>
            <w:proofErr w:type="spellEnd"/>
            <w:r>
              <w:rPr>
                <w:b/>
                <w:i/>
                <w:sz w:val="20"/>
                <w:szCs w:val="20"/>
              </w:rPr>
              <w:t xml:space="preserve"> for Public Health</w:t>
            </w:r>
          </w:p>
        </w:tc>
      </w:tr>
      <w:tr w:rsidR="00916ACA" w14:paraId="157FE465" w14:textId="77777777" w:rsidTr="0028069A">
        <w:trPr>
          <w:trHeight w:val="20"/>
        </w:trPr>
        <w:tc>
          <w:tcPr>
            <w:tcW w:w="3235" w:type="dxa"/>
            <w:vAlign w:val="center"/>
          </w:tcPr>
          <w:p w14:paraId="0C6742CB" w14:textId="2E88CE3B" w:rsidR="00916ACA" w:rsidRPr="00A56A3E" w:rsidRDefault="00A56A3E" w:rsidP="0028069A">
            <w:pPr>
              <w:pStyle w:val="BodyText"/>
              <w:rPr>
                <w:b/>
                <w:sz w:val="20"/>
                <w:szCs w:val="20"/>
              </w:rPr>
            </w:pPr>
            <w:r>
              <w:rPr>
                <w:b/>
                <w:sz w:val="20"/>
                <w:szCs w:val="20"/>
              </w:rPr>
              <w:t>Quantez Crowe – Bluegrass Region Epi</w:t>
            </w:r>
          </w:p>
        </w:tc>
        <w:tc>
          <w:tcPr>
            <w:tcW w:w="6115" w:type="dxa"/>
            <w:vAlign w:val="center"/>
          </w:tcPr>
          <w:p w14:paraId="707A0E34" w14:textId="0D4DE7CA" w:rsidR="00916ACA" w:rsidRPr="0057220F" w:rsidRDefault="00A56A3E" w:rsidP="0028069A">
            <w:pPr>
              <w:pStyle w:val="BodyText"/>
              <w:rPr>
                <w:b/>
                <w:i/>
                <w:sz w:val="20"/>
                <w:szCs w:val="20"/>
              </w:rPr>
            </w:pPr>
            <w:r>
              <w:rPr>
                <w:b/>
                <w:i/>
                <w:sz w:val="20"/>
                <w:szCs w:val="20"/>
              </w:rPr>
              <w:t xml:space="preserve">Kentucky </w:t>
            </w:r>
            <w:proofErr w:type="spellStart"/>
            <w:r>
              <w:rPr>
                <w:b/>
                <w:i/>
                <w:sz w:val="20"/>
                <w:szCs w:val="20"/>
              </w:rPr>
              <w:t>Dept</w:t>
            </w:r>
            <w:proofErr w:type="spellEnd"/>
            <w:r>
              <w:rPr>
                <w:b/>
                <w:i/>
                <w:sz w:val="20"/>
                <w:szCs w:val="20"/>
              </w:rPr>
              <w:t xml:space="preserve"> for Public Health</w:t>
            </w:r>
          </w:p>
        </w:tc>
      </w:tr>
      <w:tr w:rsidR="00916ACA" w14:paraId="4FB393E1" w14:textId="77777777" w:rsidTr="0028069A">
        <w:trPr>
          <w:trHeight w:val="20"/>
        </w:trPr>
        <w:tc>
          <w:tcPr>
            <w:tcW w:w="3235" w:type="dxa"/>
            <w:vAlign w:val="center"/>
          </w:tcPr>
          <w:p w14:paraId="6669A1C6" w14:textId="4820ED29" w:rsidR="00916ACA" w:rsidRPr="00A56A3E" w:rsidRDefault="00A56A3E" w:rsidP="0028069A">
            <w:pPr>
              <w:pStyle w:val="BodyText"/>
              <w:rPr>
                <w:b/>
                <w:sz w:val="20"/>
                <w:szCs w:val="20"/>
              </w:rPr>
            </w:pPr>
            <w:r>
              <w:rPr>
                <w:b/>
                <w:sz w:val="20"/>
                <w:szCs w:val="20"/>
              </w:rPr>
              <w:t>Rudrani Ghost – Capital Region Epi</w:t>
            </w:r>
          </w:p>
        </w:tc>
        <w:tc>
          <w:tcPr>
            <w:tcW w:w="6115" w:type="dxa"/>
            <w:vAlign w:val="center"/>
          </w:tcPr>
          <w:p w14:paraId="7D7013C6" w14:textId="1F618EE9" w:rsidR="00916ACA" w:rsidRPr="0057220F" w:rsidRDefault="00A56A3E" w:rsidP="0028069A">
            <w:pPr>
              <w:pStyle w:val="BodyText"/>
              <w:rPr>
                <w:b/>
                <w:i/>
                <w:sz w:val="20"/>
                <w:szCs w:val="20"/>
              </w:rPr>
            </w:pPr>
            <w:r>
              <w:rPr>
                <w:b/>
                <w:i/>
                <w:sz w:val="20"/>
                <w:szCs w:val="20"/>
              </w:rPr>
              <w:t xml:space="preserve">Kentucky </w:t>
            </w:r>
            <w:proofErr w:type="spellStart"/>
            <w:r>
              <w:rPr>
                <w:b/>
                <w:i/>
                <w:sz w:val="20"/>
                <w:szCs w:val="20"/>
              </w:rPr>
              <w:t>Dept</w:t>
            </w:r>
            <w:proofErr w:type="spellEnd"/>
            <w:r>
              <w:rPr>
                <w:b/>
                <w:i/>
                <w:sz w:val="20"/>
                <w:szCs w:val="20"/>
              </w:rPr>
              <w:t xml:space="preserve"> for Public Health</w:t>
            </w:r>
          </w:p>
        </w:tc>
      </w:tr>
      <w:tr w:rsidR="00916ACA" w14:paraId="1BE9372F" w14:textId="77777777" w:rsidTr="0028069A">
        <w:trPr>
          <w:trHeight w:val="20"/>
        </w:trPr>
        <w:tc>
          <w:tcPr>
            <w:tcW w:w="3235" w:type="dxa"/>
            <w:vAlign w:val="center"/>
          </w:tcPr>
          <w:p w14:paraId="373D0FCE" w14:textId="01A6A22C" w:rsidR="00916ACA" w:rsidRPr="0057220F" w:rsidRDefault="00916ACA" w:rsidP="0028069A">
            <w:pPr>
              <w:pStyle w:val="BodyText"/>
              <w:rPr>
                <w:b/>
                <w:i/>
                <w:sz w:val="20"/>
                <w:szCs w:val="20"/>
              </w:rPr>
            </w:pPr>
          </w:p>
        </w:tc>
        <w:tc>
          <w:tcPr>
            <w:tcW w:w="6115" w:type="dxa"/>
            <w:vAlign w:val="center"/>
          </w:tcPr>
          <w:p w14:paraId="3C942F59" w14:textId="2361FFFF" w:rsidR="00916ACA" w:rsidRPr="0057220F" w:rsidRDefault="00916ACA" w:rsidP="0028069A">
            <w:pPr>
              <w:pStyle w:val="BodyText"/>
              <w:rPr>
                <w:b/>
                <w:i/>
                <w:sz w:val="20"/>
                <w:szCs w:val="20"/>
              </w:rPr>
            </w:pPr>
          </w:p>
        </w:tc>
      </w:tr>
      <w:tr w:rsidR="00916ACA" w14:paraId="7BC7CB03" w14:textId="77777777" w:rsidTr="0028069A">
        <w:trPr>
          <w:trHeight w:val="20"/>
        </w:trPr>
        <w:tc>
          <w:tcPr>
            <w:tcW w:w="3235" w:type="dxa"/>
            <w:vAlign w:val="center"/>
          </w:tcPr>
          <w:p w14:paraId="5CF6D559" w14:textId="7CB4FCEB" w:rsidR="00916ACA" w:rsidRPr="0057220F" w:rsidRDefault="00916ACA" w:rsidP="0028069A">
            <w:pPr>
              <w:pStyle w:val="BodyText"/>
              <w:rPr>
                <w:b/>
                <w:i/>
                <w:sz w:val="20"/>
                <w:szCs w:val="20"/>
              </w:rPr>
            </w:pPr>
          </w:p>
        </w:tc>
        <w:tc>
          <w:tcPr>
            <w:tcW w:w="6115" w:type="dxa"/>
            <w:vAlign w:val="center"/>
          </w:tcPr>
          <w:p w14:paraId="046397EB" w14:textId="70A81EDD" w:rsidR="00916ACA" w:rsidRPr="0057220F" w:rsidRDefault="00916ACA" w:rsidP="0028069A">
            <w:pPr>
              <w:pStyle w:val="BodyText"/>
              <w:rPr>
                <w:b/>
                <w:i/>
                <w:sz w:val="20"/>
                <w:szCs w:val="20"/>
              </w:rPr>
            </w:pPr>
          </w:p>
        </w:tc>
      </w:tr>
      <w:tr w:rsidR="00916ACA" w14:paraId="75151EB2" w14:textId="77777777" w:rsidTr="0028069A">
        <w:trPr>
          <w:trHeight w:val="20"/>
        </w:trPr>
        <w:tc>
          <w:tcPr>
            <w:tcW w:w="3235" w:type="dxa"/>
            <w:vAlign w:val="center"/>
          </w:tcPr>
          <w:p w14:paraId="3AC43E95" w14:textId="2E7B4139" w:rsidR="00916ACA" w:rsidRPr="0057220F" w:rsidRDefault="00916ACA" w:rsidP="0028069A">
            <w:pPr>
              <w:pStyle w:val="BodyText"/>
              <w:rPr>
                <w:b/>
                <w:i/>
                <w:sz w:val="20"/>
                <w:szCs w:val="20"/>
              </w:rPr>
            </w:pPr>
          </w:p>
        </w:tc>
        <w:tc>
          <w:tcPr>
            <w:tcW w:w="6115" w:type="dxa"/>
            <w:vAlign w:val="center"/>
          </w:tcPr>
          <w:p w14:paraId="15A1A3C9" w14:textId="4657B9AF" w:rsidR="00916ACA" w:rsidRPr="0057220F" w:rsidRDefault="00916ACA" w:rsidP="0028069A">
            <w:pPr>
              <w:pStyle w:val="BodyText"/>
              <w:rPr>
                <w:b/>
                <w:i/>
                <w:sz w:val="20"/>
                <w:szCs w:val="20"/>
              </w:rPr>
            </w:pPr>
          </w:p>
        </w:tc>
      </w:tr>
    </w:tbl>
    <w:p w14:paraId="62F200D7" w14:textId="77777777" w:rsidR="00916ACA" w:rsidRPr="002067A6" w:rsidRDefault="00916ACA" w:rsidP="002067A6">
      <w:pPr>
        <w:pStyle w:val="BodyText"/>
      </w:pPr>
    </w:p>
    <w:sectPr w:rsidR="00916ACA" w:rsidRPr="002067A6" w:rsidSect="00A56ED7">
      <w:headerReference w:type="default" r:id="rId19"/>
      <w:foot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EFC8B" w14:textId="77777777" w:rsidR="00003A27" w:rsidRDefault="00003A27" w:rsidP="00D31366">
      <w:r>
        <w:separator/>
      </w:r>
    </w:p>
  </w:endnote>
  <w:endnote w:type="continuationSeparator" w:id="0">
    <w:p w14:paraId="16C2B325" w14:textId="77777777" w:rsidR="00003A27" w:rsidRDefault="00003A27"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6916" w14:textId="7AB61E6E" w:rsidR="0028069A" w:rsidRDefault="0028069A">
    <w:pPr>
      <w:pStyle w:val="Footer"/>
      <w:rPr>
        <w:rFonts w:ascii="Arial" w:hAnsi="Arial" w:cs="Arial"/>
        <w:color w:val="003366"/>
        <w:sz w:val="18"/>
        <w:szCs w:val="18"/>
      </w:rPr>
    </w:pPr>
    <w:r>
      <w:rPr>
        <w:rFonts w:ascii="Arial" w:hAnsi="Arial" w:cs="Arial"/>
        <w:color w:val="003366"/>
        <w:sz w:val="18"/>
        <w:szCs w:val="18"/>
      </w:rPr>
      <w:t>Simplified HSEEP Template</w:t>
    </w:r>
    <w:r>
      <w:rPr>
        <w:rFonts w:ascii="Arial" w:hAnsi="Arial" w:cs="Arial"/>
        <w:color w:val="003366"/>
        <w:sz w:val="18"/>
        <w:szCs w:val="18"/>
      </w:rPr>
      <w:tab/>
    </w:r>
    <w:r>
      <w:rPr>
        <w:rFonts w:ascii="Arial" w:hAnsi="Arial" w:cs="Arial"/>
        <w:color w:val="003366"/>
        <w:sz w:val="18"/>
        <w:szCs w:val="18"/>
      </w:rPr>
      <w:tab/>
      <w:t xml:space="preserve">     TBHMPC v1.0</w:t>
    </w:r>
  </w:p>
  <w:p w14:paraId="3801B14C" w14:textId="44491F0A" w:rsidR="0028069A" w:rsidRPr="00EC5068" w:rsidRDefault="0028069A">
    <w:pPr>
      <w:pStyle w:val="Footer"/>
      <w:rPr>
        <w:color w:val="00336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4F" w14:textId="686F4272" w:rsidR="0028069A" w:rsidRPr="00EC5068" w:rsidRDefault="0028069A" w:rsidP="00147EDA">
    <w:pPr>
      <w:pStyle w:val="Header"/>
      <w:pBdr>
        <w:top w:val="single" w:sz="8" w:space="1" w:color="000080"/>
      </w:pBdr>
      <w:tabs>
        <w:tab w:val="center" w:pos="4680"/>
      </w:tabs>
      <w:rPr>
        <w:rStyle w:val="PageNumber"/>
        <w:color w:val="003366"/>
      </w:rPr>
    </w:pPr>
    <w:r w:rsidRPr="00EC5068">
      <w:rPr>
        <w:color w:val="003366"/>
      </w:rPr>
      <w:t>Overview</w:t>
    </w:r>
    <w:r w:rsidRPr="00EC5068">
      <w:rPr>
        <w:color w:val="003366"/>
      </w:rPr>
      <w:tab/>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120026">
      <w:rPr>
        <w:rStyle w:val="PageNumber"/>
        <w:b w:val="0"/>
        <w:noProof/>
        <w:color w:val="003366"/>
      </w:rPr>
      <w:t>2</w:t>
    </w:r>
    <w:r w:rsidRPr="00EC5068">
      <w:rPr>
        <w:rStyle w:val="PageNumber"/>
        <w:b w:val="0"/>
        <w:color w:val="003366"/>
      </w:rPr>
      <w:fldChar w:fldCharType="end"/>
    </w:r>
    <w:r w:rsidRPr="00EC5068">
      <w:rPr>
        <w:rStyle w:val="PageNumber"/>
        <w:b w:val="0"/>
        <w:color w:val="003366"/>
      </w:rPr>
      <w:tab/>
    </w:r>
    <w:r>
      <w:rPr>
        <w:rStyle w:val="PageNumber"/>
        <w:color w:val="003366"/>
      </w:rPr>
      <w:t>Region 15 RRCC</w:t>
    </w:r>
  </w:p>
  <w:p w14:paraId="3801B150" w14:textId="22CF09C7" w:rsidR="0028069A" w:rsidRPr="00EC5068" w:rsidRDefault="0028069A"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Pr>
        <w:b w:val="0"/>
        <w:smallCaps/>
        <w:noProof/>
        <w:color w:val="003366"/>
        <w:sz w:val="18"/>
        <w:szCs w:val="18"/>
      </w:rPr>
      <w:drawing>
        <wp:inline distT="0" distB="0" distL="0" distR="0" wp14:anchorId="7BB6EC09" wp14:editId="0CC84ED8">
          <wp:extent cx="537411" cy="3065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y-esf8-logo-png.png"/>
                  <pic:cNvPicPr/>
                </pic:nvPicPr>
                <pic:blipFill>
                  <a:blip r:embed="rId1">
                    <a:extLst>
                      <a:ext uri="{28A0092B-C50C-407E-A947-70E740481C1C}">
                        <a14:useLocalDpi xmlns:a14="http://schemas.microsoft.com/office/drawing/2010/main" val="0"/>
                      </a:ext>
                    </a:extLst>
                  </a:blip>
                  <a:stretch>
                    <a:fillRect/>
                  </a:stretch>
                </pic:blipFill>
                <pic:spPr>
                  <a:xfrm>
                    <a:off x="0" y="0"/>
                    <a:ext cx="562102" cy="320685"/>
                  </a:xfrm>
                  <a:prstGeom prst="rect">
                    <a:avLst/>
                  </a:prstGeom>
                </pic:spPr>
              </pic:pic>
            </a:graphicData>
          </a:graphic>
        </wp:inline>
      </w:drawing>
    </w:r>
  </w:p>
  <w:p w14:paraId="3801B151" w14:textId="0EEE7901" w:rsidR="0028069A" w:rsidRPr="00EC5068" w:rsidRDefault="0028069A" w:rsidP="00675556">
    <w:pPr>
      <w:spacing w:before="60"/>
      <w:rPr>
        <w:rFonts w:ascii="Arial" w:hAnsi="Arial" w:cs="Arial"/>
        <w:color w:val="003366"/>
        <w:sz w:val="18"/>
        <w:szCs w:val="18"/>
      </w:rPr>
    </w:pP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2F277" w14:textId="71C0E591" w:rsidR="0028069A" w:rsidRPr="00EC5068" w:rsidRDefault="0028069A" w:rsidP="00236F3B">
    <w:pPr>
      <w:pStyle w:val="Header"/>
      <w:pBdr>
        <w:top w:val="single" w:sz="8" w:space="1" w:color="000080"/>
      </w:pBdr>
      <w:tabs>
        <w:tab w:val="center" w:pos="4680"/>
      </w:tabs>
      <w:rPr>
        <w:rStyle w:val="PageNumber"/>
        <w:color w:val="003366"/>
      </w:rPr>
    </w:pPr>
    <w:r>
      <w:rPr>
        <w:color w:val="003366"/>
      </w:rPr>
      <w:t>Strength &amp; Areas for Improvement</w:t>
    </w:r>
    <w:r w:rsidRPr="00EC5068">
      <w:rPr>
        <w:b w:val="0"/>
        <w:color w:val="003366"/>
      </w:rPr>
      <w:tab/>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120026">
      <w:rPr>
        <w:rStyle w:val="PageNumber"/>
        <w:b w:val="0"/>
        <w:noProof/>
        <w:color w:val="003366"/>
      </w:rPr>
      <w:t>7</w:t>
    </w:r>
    <w:r w:rsidRPr="00EC5068">
      <w:rPr>
        <w:rStyle w:val="PageNumber"/>
        <w:b w:val="0"/>
        <w:color w:val="003366"/>
      </w:rPr>
      <w:fldChar w:fldCharType="end"/>
    </w:r>
    <w:r w:rsidRPr="00EC5068">
      <w:rPr>
        <w:rStyle w:val="PageNumber"/>
        <w:b w:val="0"/>
        <w:color w:val="003366"/>
      </w:rPr>
      <w:tab/>
    </w:r>
    <w:r>
      <w:rPr>
        <w:rStyle w:val="PageNumber"/>
        <w:color w:val="003366"/>
      </w:rPr>
      <w:t>Region 15 RRCC</w:t>
    </w:r>
  </w:p>
  <w:p w14:paraId="2C2CC534" w14:textId="0283B347" w:rsidR="0028069A" w:rsidRPr="00EC5068" w:rsidRDefault="0028069A"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Pr>
        <w:b w:val="0"/>
        <w:smallCaps/>
        <w:noProof/>
        <w:color w:val="003366"/>
        <w:sz w:val="18"/>
        <w:szCs w:val="18"/>
      </w:rPr>
      <w:drawing>
        <wp:inline distT="0" distB="0" distL="0" distR="0" wp14:anchorId="11814E2A" wp14:editId="0D8C43D9">
          <wp:extent cx="497305" cy="28371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y-esf8-logo-png.png"/>
                  <pic:cNvPicPr/>
                </pic:nvPicPr>
                <pic:blipFill>
                  <a:blip r:embed="rId1">
                    <a:extLst>
                      <a:ext uri="{28A0092B-C50C-407E-A947-70E740481C1C}">
                        <a14:useLocalDpi xmlns:a14="http://schemas.microsoft.com/office/drawing/2010/main" val="0"/>
                      </a:ext>
                    </a:extLst>
                  </a:blip>
                  <a:stretch>
                    <a:fillRect/>
                  </a:stretch>
                </pic:blipFill>
                <pic:spPr>
                  <a:xfrm>
                    <a:off x="0" y="0"/>
                    <a:ext cx="530131" cy="302447"/>
                  </a:xfrm>
                  <a:prstGeom prst="rect">
                    <a:avLst/>
                  </a:prstGeom>
                </pic:spPr>
              </pic:pic>
            </a:graphicData>
          </a:graphic>
        </wp:inline>
      </w:drawing>
    </w:r>
  </w:p>
  <w:p w14:paraId="4C962D0A" w14:textId="2818A919" w:rsidR="0028069A" w:rsidRPr="00EC5068" w:rsidRDefault="0028069A" w:rsidP="00675556">
    <w:pPr>
      <w:spacing w:before="60"/>
      <w:jc w:val="center"/>
      <w:rPr>
        <w:rFonts w:ascii="Arial" w:hAnsi="Arial" w:cs="Arial"/>
        <w:color w:val="003366"/>
        <w:sz w:val="18"/>
        <w:szCs w:val="18"/>
      </w:rPr>
    </w:pP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t xml:space="preserve">   </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8" w14:textId="503D738C" w:rsidR="0028069A" w:rsidRPr="00EC5068" w:rsidRDefault="0028069A" w:rsidP="002A70AA">
    <w:pPr>
      <w:pStyle w:val="Header"/>
      <w:pBdr>
        <w:top w:val="single" w:sz="8" w:space="1" w:color="000080"/>
      </w:pBdr>
      <w:tabs>
        <w:tab w:val="clear" w:pos="9360"/>
        <w:tab w:val="center" w:pos="6480"/>
        <w:tab w:val="right" w:pos="12960"/>
      </w:tabs>
      <w:rPr>
        <w:rStyle w:val="PageNumber"/>
        <w:color w:val="003366"/>
      </w:rPr>
    </w:pPr>
    <w:r w:rsidRPr="00EC5068">
      <w:rPr>
        <w:color w:val="003366"/>
      </w:rPr>
      <w:t>Appendix A: Improvement Plan</w:t>
    </w:r>
    <w:r w:rsidRPr="00EC5068">
      <w:rPr>
        <w:b w:val="0"/>
        <w:color w:val="003366"/>
      </w:rPr>
      <w:tab/>
      <w:t>A-</w:t>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120026">
      <w:rPr>
        <w:rStyle w:val="PageNumber"/>
        <w:b w:val="0"/>
        <w:noProof/>
        <w:color w:val="003366"/>
      </w:rPr>
      <w:t>2</w:t>
    </w:r>
    <w:r w:rsidRPr="00EC5068">
      <w:rPr>
        <w:rStyle w:val="PageNumber"/>
        <w:b w:val="0"/>
        <w:color w:val="003366"/>
      </w:rPr>
      <w:fldChar w:fldCharType="end"/>
    </w:r>
    <w:r w:rsidRPr="00EC5068">
      <w:rPr>
        <w:rStyle w:val="PageNumber"/>
        <w:b w:val="0"/>
        <w:color w:val="003366"/>
      </w:rPr>
      <w:tab/>
    </w:r>
    <w:r>
      <w:rPr>
        <w:rStyle w:val="PageNumber"/>
        <w:color w:val="003366"/>
      </w:rPr>
      <w:t>Region 15 RRCC</w:t>
    </w:r>
  </w:p>
  <w:p w14:paraId="3801B159" w14:textId="78D39EBA" w:rsidR="0028069A" w:rsidRPr="00EC5068" w:rsidRDefault="0028069A" w:rsidP="002A70AA">
    <w:pPr>
      <w:pStyle w:val="Header"/>
      <w:pBdr>
        <w:top w:val="single" w:sz="8" w:space="1" w:color="000080"/>
      </w:pBdr>
      <w:tabs>
        <w:tab w:val="center" w:pos="6480"/>
      </w:tabs>
      <w:rPr>
        <w:rStyle w:val="PageNumber"/>
        <w:b w:val="0"/>
        <w:smallCaps/>
        <w:color w:val="003366"/>
        <w:sz w:val="18"/>
        <w:szCs w:val="18"/>
      </w:rPr>
    </w:pPr>
    <w:r w:rsidRPr="00EC5068">
      <w:rPr>
        <w:rStyle w:val="PageNumber"/>
        <w:color w:val="003366"/>
      </w:rPr>
      <w:tab/>
    </w:r>
    <w:r>
      <w:rPr>
        <w:b w:val="0"/>
        <w:smallCaps/>
        <w:noProof/>
        <w:color w:val="003366"/>
        <w:sz w:val="18"/>
        <w:szCs w:val="18"/>
      </w:rPr>
      <w:drawing>
        <wp:inline distT="0" distB="0" distL="0" distR="0" wp14:anchorId="697D3716" wp14:editId="72994EE8">
          <wp:extent cx="491989" cy="280737"/>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y-esf8-logo-png.png"/>
                  <pic:cNvPicPr/>
                </pic:nvPicPr>
                <pic:blipFill>
                  <a:blip r:embed="rId1">
                    <a:extLst>
                      <a:ext uri="{28A0092B-C50C-407E-A947-70E740481C1C}">
                        <a14:useLocalDpi xmlns:a14="http://schemas.microsoft.com/office/drawing/2010/main" val="0"/>
                      </a:ext>
                    </a:extLst>
                  </a:blip>
                  <a:stretch>
                    <a:fillRect/>
                  </a:stretch>
                </pic:blipFill>
                <pic:spPr>
                  <a:xfrm>
                    <a:off x="0" y="0"/>
                    <a:ext cx="521247" cy="297432"/>
                  </a:xfrm>
                  <a:prstGeom prst="rect">
                    <a:avLst/>
                  </a:prstGeom>
                </pic:spPr>
              </pic:pic>
            </a:graphicData>
          </a:graphic>
        </wp:inline>
      </w:drawing>
    </w:r>
  </w:p>
  <w:p w14:paraId="3801B15A" w14:textId="0379F320" w:rsidR="0028069A" w:rsidRPr="00EC5068" w:rsidRDefault="0028069A" w:rsidP="00675556">
    <w:pPr>
      <w:tabs>
        <w:tab w:val="center" w:pos="6480"/>
      </w:tabs>
      <w:spacing w:before="60"/>
      <w:rPr>
        <w:rFonts w:ascii="Arial" w:hAnsi="Arial" w:cs="Arial"/>
        <w:color w:val="003366"/>
        <w:sz w:val="18"/>
        <w:szCs w:val="18"/>
      </w:rPr>
    </w:pPr>
    <w:r>
      <w:rPr>
        <w:rFonts w:ascii="Arial" w:hAnsi="Arial" w:cs="Arial"/>
        <w:color w:val="003366"/>
        <w:sz w:val="18"/>
        <w:szCs w:val="18"/>
      </w:rPr>
      <w:t>Simplified HSEEP Template</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Pr="00675556">
      <w:rPr>
        <w:rFonts w:ascii="Arial" w:hAnsi="Arial" w:cs="Arial"/>
        <w:color w:val="003366"/>
        <w:sz w:val="18"/>
        <w:szCs w:val="18"/>
      </w:rPr>
      <w:tab/>
      <w:t xml:space="preserve">     </w:t>
    </w:r>
    <w:r>
      <w:rPr>
        <w:rFonts w:ascii="Arial" w:hAnsi="Arial" w:cs="Arial"/>
        <w:color w:val="003366"/>
        <w:sz w:val="18"/>
        <w:szCs w:val="18"/>
      </w:rPr>
      <w:t>TBHMPC v1.0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D" w14:textId="2139F930" w:rsidR="0028069A" w:rsidRPr="00EC5068" w:rsidRDefault="0028069A" w:rsidP="00236F3B">
    <w:pPr>
      <w:pStyle w:val="Header"/>
      <w:pBdr>
        <w:top w:val="single" w:sz="8" w:space="1" w:color="000080"/>
      </w:pBdr>
      <w:tabs>
        <w:tab w:val="center" w:pos="4680"/>
        <w:tab w:val="right" w:pos="12960"/>
      </w:tabs>
      <w:rPr>
        <w:rStyle w:val="PageNumber"/>
        <w:color w:val="003366"/>
      </w:rPr>
    </w:pPr>
    <w:r>
      <w:rPr>
        <w:color w:val="003366"/>
      </w:rPr>
      <w:t>Appendix C</w:t>
    </w:r>
    <w:r w:rsidRPr="00EC5068">
      <w:rPr>
        <w:color w:val="003366"/>
      </w:rPr>
      <w:t xml:space="preserve">: </w:t>
    </w:r>
    <w:r>
      <w:rPr>
        <w:color w:val="003366"/>
      </w:rPr>
      <w:t>Participant List</w:t>
    </w:r>
    <w:r w:rsidRPr="00EC5068">
      <w:rPr>
        <w:b w:val="0"/>
        <w:color w:val="003366"/>
      </w:rPr>
      <w:tab/>
      <w:t>B-</w:t>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120026">
      <w:rPr>
        <w:rStyle w:val="PageNumber"/>
        <w:b w:val="0"/>
        <w:noProof/>
        <w:color w:val="003366"/>
      </w:rPr>
      <w:t>2</w:t>
    </w:r>
    <w:r w:rsidRPr="00EC5068">
      <w:rPr>
        <w:rStyle w:val="PageNumber"/>
        <w:b w:val="0"/>
        <w:color w:val="003366"/>
      </w:rPr>
      <w:fldChar w:fldCharType="end"/>
    </w:r>
    <w:r>
      <w:rPr>
        <w:rStyle w:val="PageNumber"/>
        <w:b w:val="0"/>
        <w:color w:val="003366"/>
      </w:rPr>
      <w:tab/>
    </w:r>
    <w:r>
      <w:rPr>
        <w:rStyle w:val="PageNumber"/>
        <w:color w:val="003366"/>
      </w:rPr>
      <w:t>Bluegrass Healthcare Coalition</w:t>
    </w:r>
  </w:p>
  <w:p w14:paraId="3801B15E" w14:textId="7925C954" w:rsidR="0028069A" w:rsidRPr="00EC5068" w:rsidRDefault="0028069A" w:rsidP="00C94D26">
    <w:pPr>
      <w:pStyle w:val="Header"/>
      <w:pBdr>
        <w:top w:val="single" w:sz="8" w:space="1" w:color="000080"/>
      </w:pBdr>
      <w:tabs>
        <w:tab w:val="center" w:pos="4680"/>
        <w:tab w:val="center" w:pos="6480"/>
      </w:tabs>
      <w:rPr>
        <w:rStyle w:val="PageNumber"/>
        <w:b w:val="0"/>
        <w:smallCaps/>
        <w:color w:val="003366"/>
        <w:sz w:val="18"/>
        <w:szCs w:val="18"/>
      </w:rPr>
    </w:pPr>
    <w:r w:rsidRPr="00EC5068">
      <w:rPr>
        <w:rStyle w:val="PageNumber"/>
        <w:color w:val="003366"/>
      </w:rPr>
      <w:tab/>
    </w:r>
    <w:r>
      <w:rPr>
        <w:b w:val="0"/>
        <w:smallCaps/>
        <w:noProof/>
        <w:color w:val="003366"/>
        <w:sz w:val="18"/>
        <w:szCs w:val="18"/>
      </w:rPr>
      <w:drawing>
        <wp:inline distT="0" distB="0" distL="0" distR="0" wp14:anchorId="39A9A336" wp14:editId="17416755">
          <wp:extent cx="410318" cy="43815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GHCC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0104" cy="459278"/>
                  </a:xfrm>
                  <a:prstGeom prst="rect">
                    <a:avLst/>
                  </a:prstGeom>
                </pic:spPr>
              </pic:pic>
            </a:graphicData>
          </a:graphic>
        </wp:inline>
      </w:drawing>
    </w:r>
  </w:p>
  <w:p w14:paraId="3801B15F" w14:textId="4E64806A" w:rsidR="0028069A" w:rsidRPr="00EC5068" w:rsidRDefault="0028069A" w:rsidP="00675556">
    <w:pPr>
      <w:tabs>
        <w:tab w:val="center" w:pos="4680"/>
        <w:tab w:val="center" w:pos="6480"/>
        <w:tab w:val="right" w:pos="9360"/>
      </w:tabs>
      <w:spacing w:before="60"/>
      <w:rPr>
        <w:rFonts w:ascii="Arial" w:hAnsi="Arial" w:cs="Arial"/>
        <w:color w:val="003366"/>
        <w:sz w:val="18"/>
        <w:szCs w:val="18"/>
      </w:rPr>
    </w:pPr>
    <w:r>
      <w:rPr>
        <w:rFonts w:ascii="Arial" w:hAnsi="Arial" w:cs="Arial"/>
        <w:color w:val="003366"/>
        <w:sz w:val="18"/>
        <w:szCs w:val="18"/>
      </w:rPr>
      <w:tab/>
    </w:r>
    <w:r>
      <w:rPr>
        <w:rFonts w:ascii="Arial" w:hAnsi="Arial" w:cs="Arial"/>
        <w:color w:val="003366"/>
        <w:sz w:val="18"/>
        <w:szCs w:val="18"/>
      </w:rPr>
      <w:tab/>
      <w:t xml:space="preserve">                                                                      </w:t>
    </w:r>
    <w:r>
      <w:rPr>
        <w:rFonts w:ascii="Arial" w:hAnsi="Arial" w:cs="Arial"/>
        <w:color w:val="00336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3DB81" w14:textId="77777777" w:rsidR="00003A27" w:rsidRDefault="00003A27" w:rsidP="00D31366">
      <w:r>
        <w:separator/>
      </w:r>
    </w:p>
  </w:footnote>
  <w:footnote w:type="continuationSeparator" w:id="0">
    <w:p w14:paraId="002BFDC8" w14:textId="77777777" w:rsidR="00003A27" w:rsidRDefault="00003A27" w:rsidP="00D31366">
      <w:r>
        <w:continuationSeparator/>
      </w:r>
    </w:p>
  </w:footnote>
  <w:footnote w:id="1">
    <w:p w14:paraId="43786E93" w14:textId="7DFE07CF" w:rsidR="0028069A" w:rsidRDefault="0028069A">
      <w:pPr>
        <w:pStyle w:val="FootnoteText"/>
      </w:pPr>
      <w:r>
        <w:rPr>
          <w:rStyle w:val="FootnoteReference"/>
        </w:rPr>
        <w:footnoteRef/>
      </w:r>
      <w:r>
        <w:t xml:space="preserve"> Capability Elements are: Planning, Organization, Equipment, Training, or Exercise.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4D" w14:textId="6D20842C" w:rsidR="0028069A" w:rsidRPr="00EC5068" w:rsidRDefault="00003A27" w:rsidP="00BB1615">
    <w:pPr>
      <w:pStyle w:val="Header"/>
      <w:pBdr>
        <w:bottom w:val="single" w:sz="4" w:space="1" w:color="003366"/>
      </w:pBdr>
      <w:rPr>
        <w:color w:val="003366"/>
      </w:rPr>
    </w:pPr>
    <w:sdt>
      <w:sdtPr>
        <w:rPr>
          <w:color w:val="003366"/>
        </w:rPr>
        <w:id w:val="1773972059"/>
        <w:docPartObj>
          <w:docPartGallery w:val="Watermarks"/>
          <w:docPartUnique/>
        </w:docPartObj>
      </w:sdtPr>
      <w:sdtEndPr/>
      <w:sdtContent>
        <w:r>
          <w:rPr>
            <w:noProof/>
            <w:color w:val="003366"/>
          </w:rPr>
          <w:pict w14:anchorId="54350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8069A" w:rsidRPr="00EC5068">
      <w:rPr>
        <w:color w:val="003366"/>
      </w:rPr>
      <w:t>After-Action Report/</w:t>
    </w:r>
    <w:r w:rsidR="0028069A" w:rsidRPr="00EC5068">
      <w:rPr>
        <w:color w:val="003366"/>
        <w:szCs w:val="12"/>
      </w:rPr>
      <w:t>Improvement Plan (AAR/IP)</w:t>
    </w:r>
    <w:r w:rsidR="0028069A" w:rsidRPr="00EC5068">
      <w:rPr>
        <w:color w:val="003366"/>
      </w:rPr>
      <w:tab/>
    </w:r>
    <w:r w:rsidR="0028069A">
      <w:rPr>
        <w:color w:val="003366"/>
      </w:rPr>
      <w:t>COVID-19 Pandemic Response – Phase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6" w14:textId="55C33D7A" w:rsidR="0028069A" w:rsidRPr="00EC5068" w:rsidRDefault="0028069A" w:rsidP="00BB1615">
    <w:pPr>
      <w:pStyle w:val="Header"/>
      <w:pBdr>
        <w:bottom w:val="single" w:sz="4" w:space="1" w:color="003366"/>
      </w:pBdr>
      <w:tabs>
        <w:tab w:val="clear" w:pos="9360"/>
        <w:tab w:val="right" w:pos="12960"/>
      </w:tabs>
      <w:rPr>
        <w:color w:val="003366"/>
      </w:rPr>
    </w:pPr>
    <w:r w:rsidRPr="00EC5068">
      <w:rPr>
        <w:color w:val="003366"/>
      </w:rPr>
      <w:t>After-Action Report/</w:t>
    </w:r>
    <w:r w:rsidRPr="00EC5068">
      <w:rPr>
        <w:color w:val="003366"/>
        <w:szCs w:val="12"/>
      </w:rPr>
      <w:t>Improvement Plan (AAR/IP)</w:t>
    </w:r>
    <w:r w:rsidRPr="00EC5068">
      <w:rPr>
        <w:color w:val="003366"/>
      </w:rPr>
      <w:tab/>
    </w:r>
    <w:r>
      <w:rPr>
        <w:color w:val="003366"/>
      </w:rPr>
      <w:t>Earth Ex 2020 – Bluegrass Healthcare Coalition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B15B" w14:textId="2F072B91" w:rsidR="0028069A" w:rsidRPr="00EC5068" w:rsidRDefault="0028069A" w:rsidP="00BB1615">
    <w:pPr>
      <w:pStyle w:val="Header"/>
      <w:pBdr>
        <w:bottom w:val="single" w:sz="4" w:space="1" w:color="003366"/>
      </w:pBdr>
      <w:tabs>
        <w:tab w:val="right" w:pos="12960"/>
      </w:tabs>
      <w:rPr>
        <w:color w:val="003366"/>
      </w:rPr>
    </w:pPr>
    <w:r w:rsidRPr="00EC5068">
      <w:rPr>
        <w:color w:val="003366"/>
      </w:rPr>
      <w:t>After-Action Report/</w:t>
    </w:r>
    <w:r w:rsidRPr="00EC5068">
      <w:rPr>
        <w:color w:val="003366"/>
        <w:szCs w:val="12"/>
      </w:rPr>
      <w:t>Improvement Plan (AAR/IP)</w:t>
    </w:r>
    <w:r w:rsidRPr="00EC5068">
      <w:rPr>
        <w:color w:val="003366"/>
      </w:rPr>
      <w:tab/>
    </w:r>
    <w:r w:rsidRPr="00916ACA">
      <w:rPr>
        <w:color w:val="003366"/>
      </w:rPr>
      <w:t>Earth Ex 2020 – Bluegrass Healthcare Coalition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41CC64E3"/>
    <w:multiLevelType w:val="hybridMultilevel"/>
    <w:tmpl w:val="2154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5282D"/>
    <w:multiLevelType w:val="hybridMultilevel"/>
    <w:tmpl w:val="EF3EE00A"/>
    <w:lvl w:ilvl="0" w:tplc="0BC252E8">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02BE1"/>
    <w:multiLevelType w:val="hybridMultilevel"/>
    <w:tmpl w:val="C3EC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6"/>
    <w:rsid w:val="00003A27"/>
    <w:rsid w:val="00025486"/>
    <w:rsid w:val="00036062"/>
    <w:rsid w:val="00037C2C"/>
    <w:rsid w:val="00044E28"/>
    <w:rsid w:val="00045CD3"/>
    <w:rsid w:val="00054AB0"/>
    <w:rsid w:val="000558D2"/>
    <w:rsid w:val="00060EEE"/>
    <w:rsid w:val="0007427E"/>
    <w:rsid w:val="000825FC"/>
    <w:rsid w:val="0009336E"/>
    <w:rsid w:val="00095260"/>
    <w:rsid w:val="000C552E"/>
    <w:rsid w:val="000F37A1"/>
    <w:rsid w:val="001065B6"/>
    <w:rsid w:val="001072D2"/>
    <w:rsid w:val="00120026"/>
    <w:rsid w:val="001200C3"/>
    <w:rsid w:val="001230C1"/>
    <w:rsid w:val="00147EDA"/>
    <w:rsid w:val="001635FF"/>
    <w:rsid w:val="00170349"/>
    <w:rsid w:val="00173A85"/>
    <w:rsid w:val="001909F6"/>
    <w:rsid w:val="001A1DEF"/>
    <w:rsid w:val="001A3FDF"/>
    <w:rsid w:val="001A6FB1"/>
    <w:rsid w:val="001A7251"/>
    <w:rsid w:val="001B13DF"/>
    <w:rsid w:val="001E1E06"/>
    <w:rsid w:val="002067A6"/>
    <w:rsid w:val="002120BC"/>
    <w:rsid w:val="00216924"/>
    <w:rsid w:val="0022733F"/>
    <w:rsid w:val="002351A6"/>
    <w:rsid w:val="00236F3B"/>
    <w:rsid w:val="0023731B"/>
    <w:rsid w:val="00245D22"/>
    <w:rsid w:val="0025357A"/>
    <w:rsid w:val="00254CCF"/>
    <w:rsid w:val="00255A08"/>
    <w:rsid w:val="00255FF2"/>
    <w:rsid w:val="00265727"/>
    <w:rsid w:val="00271872"/>
    <w:rsid w:val="0028069A"/>
    <w:rsid w:val="00281212"/>
    <w:rsid w:val="002903C8"/>
    <w:rsid w:val="002A01AA"/>
    <w:rsid w:val="002A70AA"/>
    <w:rsid w:val="002C5578"/>
    <w:rsid w:val="002E299F"/>
    <w:rsid w:val="002F6911"/>
    <w:rsid w:val="00305EC5"/>
    <w:rsid w:val="00316D69"/>
    <w:rsid w:val="003170C3"/>
    <w:rsid w:val="0033566C"/>
    <w:rsid w:val="003368FF"/>
    <w:rsid w:val="0034018F"/>
    <w:rsid w:val="00361778"/>
    <w:rsid w:val="00377B03"/>
    <w:rsid w:val="0038733F"/>
    <w:rsid w:val="0039112D"/>
    <w:rsid w:val="003A0595"/>
    <w:rsid w:val="003A1C8B"/>
    <w:rsid w:val="003A74DE"/>
    <w:rsid w:val="003C6B34"/>
    <w:rsid w:val="003F6EA2"/>
    <w:rsid w:val="004104C7"/>
    <w:rsid w:val="004157B8"/>
    <w:rsid w:val="00431D3F"/>
    <w:rsid w:val="0043357E"/>
    <w:rsid w:val="00451D3D"/>
    <w:rsid w:val="004C0549"/>
    <w:rsid w:val="004C613D"/>
    <w:rsid w:val="004D791A"/>
    <w:rsid w:val="004E7D88"/>
    <w:rsid w:val="004F37DF"/>
    <w:rsid w:val="004F6211"/>
    <w:rsid w:val="005053C2"/>
    <w:rsid w:val="00515A72"/>
    <w:rsid w:val="005456F5"/>
    <w:rsid w:val="00556D79"/>
    <w:rsid w:val="005657CD"/>
    <w:rsid w:val="0057220F"/>
    <w:rsid w:val="00576DCA"/>
    <w:rsid w:val="005A60DA"/>
    <w:rsid w:val="005B6E90"/>
    <w:rsid w:val="005E57EC"/>
    <w:rsid w:val="005E65BE"/>
    <w:rsid w:val="005F4207"/>
    <w:rsid w:val="00605796"/>
    <w:rsid w:val="00613A96"/>
    <w:rsid w:val="006154F3"/>
    <w:rsid w:val="00636668"/>
    <w:rsid w:val="00654EBA"/>
    <w:rsid w:val="006645F7"/>
    <w:rsid w:val="006746F8"/>
    <w:rsid w:val="00675556"/>
    <w:rsid w:val="00693B85"/>
    <w:rsid w:val="006B6162"/>
    <w:rsid w:val="006D2DE3"/>
    <w:rsid w:val="006F4234"/>
    <w:rsid w:val="00703D1B"/>
    <w:rsid w:val="00707C30"/>
    <w:rsid w:val="007218CE"/>
    <w:rsid w:val="00723232"/>
    <w:rsid w:val="007273E9"/>
    <w:rsid w:val="0076011B"/>
    <w:rsid w:val="0078501D"/>
    <w:rsid w:val="007C207C"/>
    <w:rsid w:val="007D2F33"/>
    <w:rsid w:val="007F0221"/>
    <w:rsid w:val="007F6CBC"/>
    <w:rsid w:val="00800BC4"/>
    <w:rsid w:val="00831034"/>
    <w:rsid w:val="008502AC"/>
    <w:rsid w:val="00860E24"/>
    <w:rsid w:val="0086638C"/>
    <w:rsid w:val="00876C13"/>
    <w:rsid w:val="00896484"/>
    <w:rsid w:val="00896C3D"/>
    <w:rsid w:val="008C4A53"/>
    <w:rsid w:val="00900892"/>
    <w:rsid w:val="00902FF2"/>
    <w:rsid w:val="00916ACA"/>
    <w:rsid w:val="00917888"/>
    <w:rsid w:val="00925736"/>
    <w:rsid w:val="00925882"/>
    <w:rsid w:val="00942F2E"/>
    <w:rsid w:val="009434EB"/>
    <w:rsid w:val="009530E1"/>
    <w:rsid w:val="00956255"/>
    <w:rsid w:val="00984316"/>
    <w:rsid w:val="009A77DF"/>
    <w:rsid w:val="009B2B5E"/>
    <w:rsid w:val="009C1950"/>
    <w:rsid w:val="009C55A6"/>
    <w:rsid w:val="009C73BC"/>
    <w:rsid w:val="009D0F28"/>
    <w:rsid w:val="009E0887"/>
    <w:rsid w:val="009E1724"/>
    <w:rsid w:val="009F0AEC"/>
    <w:rsid w:val="009F15F0"/>
    <w:rsid w:val="00A01566"/>
    <w:rsid w:val="00A061F3"/>
    <w:rsid w:val="00A116E8"/>
    <w:rsid w:val="00A216E8"/>
    <w:rsid w:val="00A2524E"/>
    <w:rsid w:val="00A40CCA"/>
    <w:rsid w:val="00A554C3"/>
    <w:rsid w:val="00A562C7"/>
    <w:rsid w:val="00A56A3E"/>
    <w:rsid w:val="00A56ED7"/>
    <w:rsid w:val="00A639B2"/>
    <w:rsid w:val="00A64C1E"/>
    <w:rsid w:val="00AC78AA"/>
    <w:rsid w:val="00AE458E"/>
    <w:rsid w:val="00B20268"/>
    <w:rsid w:val="00B36C99"/>
    <w:rsid w:val="00B40F03"/>
    <w:rsid w:val="00B51EF7"/>
    <w:rsid w:val="00B561EB"/>
    <w:rsid w:val="00BA3A8B"/>
    <w:rsid w:val="00BB1615"/>
    <w:rsid w:val="00BB2101"/>
    <w:rsid w:val="00BD0874"/>
    <w:rsid w:val="00BD2C87"/>
    <w:rsid w:val="00BD41C3"/>
    <w:rsid w:val="00BE3AAA"/>
    <w:rsid w:val="00BE5773"/>
    <w:rsid w:val="00C01826"/>
    <w:rsid w:val="00C12C39"/>
    <w:rsid w:val="00C306CF"/>
    <w:rsid w:val="00C32C85"/>
    <w:rsid w:val="00C57131"/>
    <w:rsid w:val="00C57CFC"/>
    <w:rsid w:val="00C94D26"/>
    <w:rsid w:val="00CA2B8D"/>
    <w:rsid w:val="00CA63CE"/>
    <w:rsid w:val="00CB35BC"/>
    <w:rsid w:val="00CB74D0"/>
    <w:rsid w:val="00CC18BE"/>
    <w:rsid w:val="00CD2F75"/>
    <w:rsid w:val="00CE4109"/>
    <w:rsid w:val="00D0430F"/>
    <w:rsid w:val="00D24AFE"/>
    <w:rsid w:val="00D27750"/>
    <w:rsid w:val="00D31366"/>
    <w:rsid w:val="00D402B2"/>
    <w:rsid w:val="00D92F17"/>
    <w:rsid w:val="00DB0C6C"/>
    <w:rsid w:val="00DB142B"/>
    <w:rsid w:val="00DD417E"/>
    <w:rsid w:val="00DE315B"/>
    <w:rsid w:val="00DE384F"/>
    <w:rsid w:val="00DE470C"/>
    <w:rsid w:val="00DE5637"/>
    <w:rsid w:val="00DE7CA3"/>
    <w:rsid w:val="00DF0888"/>
    <w:rsid w:val="00E11B89"/>
    <w:rsid w:val="00E72FEC"/>
    <w:rsid w:val="00E801BF"/>
    <w:rsid w:val="00E92056"/>
    <w:rsid w:val="00E926F9"/>
    <w:rsid w:val="00EB030E"/>
    <w:rsid w:val="00EB3A61"/>
    <w:rsid w:val="00EC5068"/>
    <w:rsid w:val="00ED588C"/>
    <w:rsid w:val="00EE3D6A"/>
    <w:rsid w:val="00F10013"/>
    <w:rsid w:val="00F23EC1"/>
    <w:rsid w:val="00F25F11"/>
    <w:rsid w:val="00F267C1"/>
    <w:rsid w:val="00F31E25"/>
    <w:rsid w:val="00F3477B"/>
    <w:rsid w:val="00F3638C"/>
    <w:rsid w:val="00F40100"/>
    <w:rsid w:val="00F466AA"/>
    <w:rsid w:val="00F53C81"/>
    <w:rsid w:val="00F677B4"/>
    <w:rsid w:val="00F84D90"/>
    <w:rsid w:val="00F91DE1"/>
    <w:rsid w:val="00F940BF"/>
    <w:rsid w:val="00F97375"/>
    <w:rsid w:val="00FD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01B076"/>
  <w15:docId w15:val="{BBD0B093-AE3D-499E-9E52-503120F5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2903C8"/>
    <w:pPr>
      <w:keepNext/>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2903C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2903C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unhideWhenUsed/>
    <w:qFormat/>
    <w:rsid w:val="002903C8"/>
    <w:pPr>
      <w:keepNext/>
      <w:keepLines/>
      <w:spacing w:before="200"/>
      <w:outlineLvl w:val="3"/>
    </w:pPr>
    <w:rPr>
      <w:rFonts w:eastAsiaTheme="majorEastAsia" w:cstheme="majorBidi"/>
      <w:b/>
      <w:bCs/>
      <w:iCs/>
      <w:color w:val="003366"/>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C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2903C8"/>
    <w:rPr>
      <w:rFonts w:ascii="Arial" w:eastAsia="Times New Roman" w:hAnsi="Arial" w:cs="Arial"/>
      <w:b/>
      <w:bCs/>
      <w:iCs/>
      <w:color w:val="003366"/>
      <w:sz w:val="28"/>
      <w:szCs w:val="28"/>
    </w:rPr>
  </w:style>
  <w:style w:type="character" w:customStyle="1" w:styleId="Heading3Char">
    <w:name w:val="Heading 3 Char"/>
    <w:basedOn w:val="DefaultParagraphFont"/>
    <w:link w:val="Heading3"/>
    <w:uiPriority w:val="9"/>
    <w:rsid w:val="002903C8"/>
    <w:rPr>
      <w:rFonts w:ascii="Arial" w:eastAsia="Times New Roman" w:hAnsi="Arial" w:cs="Arial"/>
      <w:b/>
      <w:bCs/>
      <w:color w:val="003366"/>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qFormat/>
    <w:rsid w:val="0034018F"/>
    <w:pPr>
      <w:spacing w:before="40" w:after="40"/>
    </w:pPr>
    <w:rPr>
      <w:rFonts w:ascii="Arial" w:hAnsi="Arial"/>
      <w:sz w:val="20"/>
    </w:rPr>
  </w:style>
  <w:style w:type="paragraph" w:styleId="BodyText">
    <w:name w:val="Body Text"/>
    <w:basedOn w:val="Normal"/>
    <w:link w:val="BodyTextChar"/>
    <w:qFormat/>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2"/>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7218CE"/>
    <w:pPr>
      <w:widowControl w:val="0"/>
      <w:numPr>
        <w:ilvl w:val="1"/>
      </w:numPr>
      <w:autoSpaceDE w:val="0"/>
      <w:autoSpaceDN w:val="0"/>
      <w:adjustRightInd w:val="0"/>
      <w:spacing w:after="24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7218CE"/>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CC18BE"/>
    <w:pPr>
      <w:spacing w:before="120" w:after="240"/>
      <w:jc w:val="center"/>
      <w:outlineLvl w:val="1"/>
    </w:pPr>
    <w:rPr>
      <w:bCs w:val="0"/>
      <w:color w:val="auto"/>
      <w:sz w:val="20"/>
      <w:szCs w:val="20"/>
    </w:rPr>
  </w:style>
  <w:style w:type="character" w:customStyle="1" w:styleId="Heading4Char">
    <w:name w:val="Heading 4 Char"/>
    <w:basedOn w:val="DefaultParagraphFont"/>
    <w:link w:val="Heading4"/>
    <w:uiPriority w:val="9"/>
    <w:rsid w:val="002903C8"/>
    <w:rPr>
      <w:rFonts w:ascii="Times New Roman" w:eastAsiaTheme="majorEastAsia" w:hAnsi="Times New Roman" w:cstheme="majorBidi"/>
      <w:b/>
      <w:bCs/>
      <w:iCs/>
      <w:color w:val="003366"/>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5E65BE"/>
    <w:pPr>
      <w:spacing w:after="120" w:line="480" w:lineRule="auto"/>
    </w:pPr>
  </w:style>
  <w:style w:type="character" w:customStyle="1" w:styleId="BodyText2Char">
    <w:name w:val="Body Text 2 Char"/>
    <w:basedOn w:val="DefaultParagraphFont"/>
    <w:link w:val="BodyText2"/>
    <w:uiPriority w:val="99"/>
    <w:rsid w:val="005E65BE"/>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E65BE"/>
    <w:pPr>
      <w:spacing w:after="120"/>
    </w:pPr>
    <w:rPr>
      <w:sz w:val="16"/>
      <w:szCs w:val="16"/>
    </w:rPr>
  </w:style>
  <w:style w:type="character" w:customStyle="1" w:styleId="BodyText3Char">
    <w:name w:val="Body Text 3 Char"/>
    <w:basedOn w:val="DefaultParagraphFont"/>
    <w:link w:val="BodyText3"/>
    <w:uiPriority w:val="99"/>
    <w:rsid w:val="005E65B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5E65BE"/>
    <w:pPr>
      <w:spacing w:after="0"/>
      <w:ind w:firstLine="360"/>
    </w:pPr>
  </w:style>
  <w:style w:type="character" w:customStyle="1" w:styleId="BodyTextFirstIndentChar">
    <w:name w:val="Body Text First Indent Char"/>
    <w:basedOn w:val="BodyTextChar"/>
    <w:link w:val="BodyTextFirstIndent"/>
    <w:uiPriority w:val="99"/>
    <w:rsid w:val="005E65B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E65BE"/>
    <w:pPr>
      <w:spacing w:after="120"/>
      <w:ind w:left="360"/>
    </w:pPr>
  </w:style>
  <w:style w:type="character" w:customStyle="1" w:styleId="BodyTextIndentChar">
    <w:name w:val="Body Text Indent Char"/>
    <w:basedOn w:val="DefaultParagraphFont"/>
    <w:link w:val="BodyTextIndent"/>
    <w:uiPriority w:val="99"/>
    <w:rsid w:val="005E65B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E65BE"/>
    <w:pPr>
      <w:spacing w:after="0"/>
      <w:ind w:firstLine="360"/>
    </w:pPr>
  </w:style>
  <w:style w:type="character" w:customStyle="1" w:styleId="BodyTextFirstIndent2Char">
    <w:name w:val="Body Text First Indent 2 Char"/>
    <w:basedOn w:val="BodyTextIndentChar"/>
    <w:link w:val="BodyTextFirstIndent2"/>
    <w:uiPriority w:val="99"/>
    <w:rsid w:val="005E65B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E65BE"/>
    <w:pPr>
      <w:spacing w:after="120" w:line="480" w:lineRule="auto"/>
      <w:ind w:left="360"/>
    </w:pPr>
  </w:style>
  <w:style w:type="character" w:customStyle="1" w:styleId="BodyTextIndent2Char">
    <w:name w:val="Body Text Indent 2 Char"/>
    <w:basedOn w:val="DefaultParagraphFont"/>
    <w:link w:val="BodyTextIndent2"/>
    <w:uiPriority w:val="99"/>
    <w:rsid w:val="005E65B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5E65BE"/>
    <w:pPr>
      <w:spacing w:after="120"/>
      <w:ind w:left="360"/>
    </w:pPr>
    <w:rPr>
      <w:sz w:val="16"/>
      <w:szCs w:val="16"/>
    </w:rPr>
  </w:style>
  <w:style w:type="character" w:customStyle="1" w:styleId="BodyTextIndent3Char">
    <w:name w:val="Body Text Indent 3 Char"/>
    <w:basedOn w:val="DefaultParagraphFont"/>
    <w:link w:val="BodyTextIndent3"/>
    <w:uiPriority w:val="99"/>
    <w:rsid w:val="005E65BE"/>
    <w:rPr>
      <w:rFonts w:ascii="Times New Roman" w:eastAsia="Times New Roman" w:hAnsi="Times New Roman" w:cs="Times New Roman"/>
      <w:sz w:val="16"/>
      <w:szCs w:val="16"/>
    </w:rPr>
  </w:style>
  <w:style w:type="paragraph" w:styleId="BlockText">
    <w:name w:val="Block Text"/>
    <w:basedOn w:val="Normal"/>
    <w:uiPriority w:val="99"/>
    <w:unhideWhenUsed/>
    <w:rsid w:val="005E65B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BodyTextBold">
    <w:name w:val="Body Text Bold"/>
    <w:basedOn w:val="BodyText"/>
    <w:link w:val="BodyTextBoldChar"/>
    <w:qFormat/>
    <w:rsid w:val="00605796"/>
    <w:rPr>
      <w:b/>
    </w:rPr>
  </w:style>
  <w:style w:type="paragraph" w:customStyle="1" w:styleId="Appendix">
    <w:name w:val="Appendix"/>
    <w:basedOn w:val="Heading1"/>
    <w:link w:val="AppendixChar"/>
    <w:qFormat/>
    <w:rsid w:val="00605796"/>
    <w:pPr>
      <w:numPr>
        <w:numId w:val="3"/>
      </w:numPr>
    </w:pPr>
  </w:style>
  <w:style w:type="character" w:customStyle="1" w:styleId="BodyTextBoldChar">
    <w:name w:val="Body Text Bold Char"/>
    <w:basedOn w:val="BodyTextChar"/>
    <w:link w:val="BodyTextBold"/>
    <w:rsid w:val="00605796"/>
    <w:rPr>
      <w:rFonts w:ascii="Times New Roman" w:eastAsia="Times New Roman" w:hAnsi="Times New Roman" w:cs="Times New Roman"/>
      <w:b/>
      <w:sz w:val="24"/>
      <w:szCs w:val="24"/>
    </w:rPr>
  </w:style>
  <w:style w:type="character" w:customStyle="1" w:styleId="AppendixChar">
    <w:name w:val="Appendix Char"/>
    <w:basedOn w:val="Heading1Char"/>
    <w:link w:val="Appendix"/>
    <w:rsid w:val="00605796"/>
    <w:rPr>
      <w:rFonts w:ascii="Arial Bold" w:eastAsia="Times New Roman" w:hAnsi="Arial Bold" w:cs="Arial"/>
      <w:b/>
      <w:bCs/>
      <w:smallCaps/>
      <w:color w:val="003366"/>
      <w:kern w:val="32"/>
      <w:sz w:val="38"/>
      <w:szCs w:val="38"/>
    </w:rPr>
  </w:style>
  <w:style w:type="paragraph" w:styleId="NormalWeb">
    <w:name w:val="Normal (Web)"/>
    <w:basedOn w:val="Normal"/>
    <w:uiPriority w:val="99"/>
    <w:semiHidden/>
    <w:unhideWhenUsed/>
    <w:rsid w:val="00F91DE1"/>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ki.sanderson@ky.gov"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imd.yazell@ky.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eccaL.hardin@ky.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n.carney@ky.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300C-269C-4461-8F5C-B00829CD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12</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subject/>
  <dc:creator>DHS FEMA</dc:creator>
  <cp:keywords>HSEEP, Template, After-Action, Improvement Plan, AAR, Evaluation</cp:keywords>
  <cp:lastModifiedBy>Carney, David N (CHFS DPH DPHPS)</cp:lastModifiedBy>
  <cp:revision>9</cp:revision>
  <cp:lastPrinted>2021-03-17T20:28:00Z</cp:lastPrinted>
  <dcterms:created xsi:type="dcterms:W3CDTF">2021-03-17T12:39:00Z</dcterms:created>
  <dcterms:modified xsi:type="dcterms:W3CDTF">2021-03-18T13:48:00Z</dcterms:modified>
  <cp:category/>
</cp:coreProperties>
</file>